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000EF">
      <w:pPr>
        <w:spacing w:line="760" w:lineRule="exact"/>
        <w:jc w:val="center"/>
        <w:rPr>
          <w:rFonts w:hint="eastAsia" w:eastAsia="楷体_GB2312"/>
          <w:sz w:val="32"/>
        </w:rPr>
      </w:pPr>
      <w:bookmarkStart w:id="111" w:name="_GoBack"/>
      <w:bookmarkEnd w:id="111"/>
    </w:p>
    <w:p w14:paraId="58E351A7">
      <w:pPr>
        <w:spacing w:line="760" w:lineRule="exact"/>
        <w:jc w:val="center"/>
        <w:rPr>
          <w:rFonts w:hint="eastAsia" w:eastAsia="楷体_GB2312"/>
          <w:sz w:val="32"/>
        </w:rPr>
      </w:pPr>
    </w:p>
    <w:p w14:paraId="1FB73F19">
      <w:pPr>
        <w:jc w:val="center"/>
        <w:rPr>
          <w:rFonts w:hint="eastAsia" w:ascii="华文中宋" w:hAnsi="华文中宋" w:eastAsia="华文中宋"/>
          <w:b/>
          <w:color w:val="FF0000"/>
          <w:spacing w:val="24"/>
          <w:sz w:val="44"/>
        </w:rPr>
      </w:pPr>
      <w:r>
        <w:rPr>
          <w:rFonts w:hint="eastAsia" w:ascii="华文中宋" w:hAnsi="华文中宋" w:eastAsia="华文中宋"/>
          <w:b/>
          <w:color w:val="FF0000"/>
          <w:spacing w:val="24"/>
          <w:sz w:val="44"/>
        </w:rPr>
        <w:t>全 州 县 人 民 政 府</w:t>
      </w:r>
    </w:p>
    <w:p w14:paraId="13D06A2E">
      <w:pPr>
        <w:spacing w:line="600" w:lineRule="exact"/>
        <w:jc w:val="center"/>
        <w:rPr>
          <w:rFonts w:hint="eastAsia" w:eastAsia="楷体_GB2312"/>
          <w:sz w:val="32"/>
        </w:rPr>
      </w:pPr>
    </w:p>
    <w:p w14:paraId="1C0F61B3">
      <w:pPr>
        <w:jc w:val="center"/>
        <w:rPr>
          <w:rFonts w:hint="eastAsia" w:ascii="宋体" w:hAnsi="宋体"/>
          <w:b/>
          <w:color w:val="FF0000"/>
          <w:spacing w:val="-14"/>
          <w:sz w:val="90"/>
        </w:rPr>
      </w:pPr>
      <w:r>
        <w:rPr>
          <w:rFonts w:hint="eastAsia" w:ascii="宋体" w:hAnsi="宋体"/>
          <w:b/>
          <w:color w:val="FF0000"/>
          <w:spacing w:val="-14"/>
          <w:sz w:val="90"/>
        </w:rPr>
        <w:t>办 公 室 文 件</w:t>
      </w:r>
    </w:p>
    <w:p w14:paraId="328273F6">
      <w:pPr>
        <w:pBdr>
          <w:bottom w:val="single" w:color="FF0000" w:sz="24" w:space="1"/>
        </w:pBdr>
        <w:spacing w:line="1060" w:lineRule="exact"/>
        <w:jc w:val="center"/>
        <w:rPr>
          <w:rFonts w:hint="eastAsia" w:ascii="宋体" w:hAnsi="宋体"/>
          <w:b/>
          <w:color w:val="FF0000"/>
          <w:sz w:val="28"/>
        </w:rPr>
      </w:pPr>
      <w:r>
        <w:rPr>
          <w:rFonts w:hint="eastAsia" w:eastAsia="仿宋_GB2312"/>
          <w:sz w:val="32"/>
        </w:rPr>
        <w:t>全政办〔</w:t>
      </w:r>
      <w:r>
        <w:rPr>
          <w:rFonts w:hint="default" w:ascii="Times New Roman" w:hAnsi="Times New Roman" w:eastAsia="仿宋_GB2312" w:cs="Times New Roman"/>
          <w:sz w:val="32"/>
        </w:rPr>
        <w:t>20</w:t>
      </w:r>
      <w:r>
        <w:rPr>
          <w:rFonts w:hint="default" w:ascii="Times New Roman" w:hAnsi="Times New Roman" w:eastAsia="仿宋_GB2312" w:cs="Times New Roman"/>
          <w:sz w:val="32"/>
          <w:lang w:val="en-US" w:eastAsia="zh-CN"/>
        </w:rPr>
        <w:t>22</w:t>
      </w:r>
      <w:r>
        <w:rPr>
          <w:rFonts w:hint="eastAsia" w:eastAsia="仿宋_GB2312"/>
          <w:sz w:val="32"/>
        </w:rPr>
        <w:t>〕</w:t>
      </w:r>
      <w:r>
        <w:rPr>
          <w:rFonts w:hint="eastAsia" w:ascii="Times New Roman" w:hAnsi="Times New Roman" w:eastAsia="仿宋_GB2312" w:cs="Times New Roman"/>
          <w:sz w:val="32"/>
          <w:lang w:val="en-US" w:eastAsia="zh-CN"/>
        </w:rPr>
        <w:t>12</w:t>
      </w:r>
      <w:r>
        <w:rPr>
          <w:rFonts w:hint="eastAsia" w:eastAsia="仿宋_GB2312"/>
          <w:sz w:val="32"/>
        </w:rPr>
        <w:t>号</w:t>
      </w:r>
    </w:p>
    <w:p w14:paraId="4F319CB3">
      <w:pPr>
        <w:spacing w:line="640" w:lineRule="exact"/>
        <w:jc w:val="both"/>
        <w:rPr>
          <w:rFonts w:hint="eastAsia" w:ascii="Times New Roman" w:hAnsi="Times New Roman" w:eastAsia="方正小标宋_GBK" w:cs="方正小标宋_GBK"/>
          <w:sz w:val="44"/>
          <w:szCs w:val="44"/>
        </w:rPr>
      </w:pPr>
    </w:p>
    <w:p w14:paraId="632A702A">
      <w:pPr>
        <w:spacing w:line="640" w:lineRule="exact"/>
        <w:jc w:val="center"/>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全州县人民政府</w:t>
      </w:r>
      <w:r>
        <w:rPr>
          <w:rFonts w:hint="eastAsia" w:ascii="Times New Roman" w:hAnsi="Times New Roman" w:eastAsia="方正小标宋_GBK" w:cs="方正小标宋_GBK"/>
          <w:sz w:val="44"/>
          <w:szCs w:val="44"/>
          <w:lang w:eastAsia="zh-CN"/>
        </w:rPr>
        <w:t>办</w:t>
      </w:r>
      <w:r>
        <w:rPr>
          <w:rFonts w:hint="eastAsia" w:ascii="Times New Roman" w:hAnsi="Times New Roman" w:eastAsia="方正小标宋_GBK" w:cs="方正小标宋_GBK"/>
          <w:sz w:val="44"/>
          <w:szCs w:val="44"/>
          <w:lang w:val="en-US" w:eastAsia="zh-CN"/>
        </w:rPr>
        <w:t>公</w:t>
      </w:r>
      <w:r>
        <w:rPr>
          <w:rFonts w:hint="eastAsia" w:ascii="Times New Roman" w:hAnsi="Times New Roman" w:eastAsia="方正小标宋_GBK" w:cs="方正小标宋_GBK"/>
          <w:sz w:val="44"/>
          <w:szCs w:val="44"/>
          <w:lang w:eastAsia="zh-CN"/>
        </w:rPr>
        <w:t>室</w:t>
      </w:r>
      <w:r>
        <w:rPr>
          <w:rFonts w:hint="eastAsia" w:ascii="Times New Roman" w:hAnsi="Times New Roman" w:eastAsia="方正小标宋_GBK" w:cs="方正小标宋_GBK"/>
          <w:sz w:val="44"/>
          <w:szCs w:val="44"/>
        </w:rPr>
        <w:t>关于印发全州县国民经</w:t>
      </w:r>
      <w:r>
        <w:rPr>
          <w:rFonts w:hint="eastAsia" w:ascii="Times New Roman" w:hAnsi="Times New Roman" w:eastAsia="方正小标宋_GBK" w:cs="方正小标宋_GBK"/>
          <w:sz w:val="44"/>
          <w:szCs w:val="44"/>
          <w:lang w:eastAsia="zh-CN"/>
        </w:rPr>
        <w:t>济</w:t>
      </w:r>
      <w:r>
        <w:rPr>
          <w:rFonts w:hint="eastAsia" w:ascii="Times New Roman" w:hAnsi="Times New Roman" w:eastAsia="方正小标宋_GBK" w:cs="方正小标宋_GBK"/>
          <w:sz w:val="44"/>
          <w:szCs w:val="44"/>
        </w:rPr>
        <w:t>和社会发展第十四个五年规划和2035年</w:t>
      </w:r>
    </w:p>
    <w:p w14:paraId="6C870B1A">
      <w:pPr>
        <w:spacing w:line="640" w:lineRule="exact"/>
        <w:jc w:val="center"/>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远景目标纲要主要指标和任务</w:t>
      </w:r>
    </w:p>
    <w:p w14:paraId="139D15E4">
      <w:pPr>
        <w:spacing w:line="640" w:lineRule="exact"/>
        <w:jc w:val="center"/>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分工方案的通知</w:t>
      </w:r>
    </w:p>
    <w:p w14:paraId="0EA2DB0F">
      <w:pPr>
        <w:spacing w:line="586" w:lineRule="exact"/>
        <w:rPr>
          <w:rFonts w:ascii="Times New Roman" w:hAnsi="Times New Roman" w:eastAsia="仿宋_GB2312" w:cs="Times New Roman"/>
          <w:sz w:val="32"/>
          <w:szCs w:val="32"/>
        </w:rPr>
      </w:pPr>
    </w:p>
    <w:p w14:paraId="58E5B7EA">
      <w:pPr>
        <w:spacing w:line="586" w:lineRule="exact"/>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各</w:t>
      </w:r>
      <w:r>
        <w:rPr>
          <w:rFonts w:hint="eastAsia" w:ascii="Times New Roman" w:hAnsi="Times New Roman" w:eastAsia="楷体_GB2312" w:cs="Times New Roman"/>
          <w:sz w:val="32"/>
          <w:szCs w:val="32"/>
          <w:lang w:eastAsia="zh-CN"/>
        </w:rPr>
        <w:t>乡</w:t>
      </w:r>
      <w:r>
        <w:rPr>
          <w:rFonts w:hint="default" w:ascii="Times New Roman" w:hAnsi="Times New Roman" w:eastAsia="楷体_GB2312" w:cs="Times New Roman"/>
          <w:sz w:val="32"/>
          <w:szCs w:val="32"/>
        </w:rPr>
        <w:t>（镇）人民政府，县直各单位（含垂直管理单位）：</w:t>
      </w:r>
    </w:p>
    <w:p w14:paraId="2CAE66D8">
      <w:pPr>
        <w:spacing w:line="640" w:lineRule="exact"/>
        <w:ind w:firstLine="616" w:firstLineChars="200"/>
        <w:jc w:val="left"/>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现</w:t>
      </w:r>
      <w:r>
        <w:rPr>
          <w:rFonts w:hint="default" w:ascii="Times New Roman" w:hAnsi="Times New Roman" w:eastAsia="楷体_GB2312" w:cs="Times New Roman"/>
          <w:sz w:val="32"/>
          <w:szCs w:val="32"/>
          <w:lang w:eastAsia="zh-CN"/>
        </w:rPr>
        <w:t>将</w:t>
      </w:r>
      <w:r>
        <w:rPr>
          <w:rFonts w:hint="default" w:ascii="Times New Roman" w:hAnsi="Times New Roman" w:eastAsia="楷体_GB2312" w:cs="Times New Roman"/>
          <w:sz w:val="32"/>
          <w:szCs w:val="32"/>
        </w:rPr>
        <w:t>《全州县国民经济和社会发展第十四个五年规划和2035年远景目标纲要主要指标和任务分工方案》印发给你们，请认真贯彻落实，确保各项目标任务高质量推进、高标准完成。</w:t>
      </w:r>
    </w:p>
    <w:p w14:paraId="5C2CD589">
      <w:pPr>
        <w:spacing w:line="586" w:lineRule="exact"/>
        <w:ind w:firstLine="5390" w:firstLineChars="1750"/>
        <w:rPr>
          <w:rFonts w:hint="default" w:ascii="Times New Roman" w:hAnsi="Times New Roman" w:eastAsia="楷体_GB2312" w:cs="Times New Roman"/>
          <w:sz w:val="32"/>
          <w:szCs w:val="32"/>
        </w:rPr>
      </w:pPr>
    </w:p>
    <w:p w14:paraId="5D90FE41">
      <w:pPr>
        <w:spacing w:line="586" w:lineRule="exact"/>
        <w:ind w:firstLine="5236" w:firstLineChars="1700"/>
        <w:rPr>
          <w:rFonts w:hint="eastAsia"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全州县人民政府</w:t>
      </w:r>
      <w:r>
        <w:rPr>
          <w:rFonts w:hint="eastAsia" w:ascii="Times New Roman" w:hAnsi="Times New Roman" w:eastAsia="楷体_GB2312" w:cs="Times New Roman"/>
          <w:sz w:val="32"/>
          <w:szCs w:val="32"/>
          <w:lang w:eastAsia="zh-CN"/>
        </w:rPr>
        <w:t>办公室</w:t>
      </w:r>
    </w:p>
    <w:p w14:paraId="72C882DE">
      <w:pPr>
        <w:spacing w:line="586" w:lineRule="exact"/>
        <w:ind w:firstLine="5544" w:firstLineChars="1800"/>
        <w:rPr>
          <w:rFonts w:hint="eastAsia" w:ascii="Times New Roman" w:hAnsi="Times New Roman" w:eastAsia="黑体"/>
          <w:sz w:val="32"/>
        </w:rPr>
      </w:pPr>
      <w:r>
        <w:rPr>
          <w:rFonts w:hint="default" w:ascii="Times New Roman" w:hAnsi="Times New Roman" w:eastAsia="楷体_GB2312" w:cs="Times New Roman"/>
          <w:sz w:val="32"/>
          <w:szCs w:val="32"/>
        </w:rPr>
        <w:t>2022年</w:t>
      </w:r>
      <w:r>
        <w:rPr>
          <w:rFonts w:hint="eastAsia" w:ascii="Times New Roman" w:hAnsi="Times New Roman" w:eastAsia="楷体_GB2312" w:cs="Times New Roman"/>
          <w:sz w:val="32"/>
          <w:szCs w:val="32"/>
          <w:lang w:val="en-US" w:eastAsia="zh-CN"/>
        </w:rPr>
        <w:t>4</w:t>
      </w:r>
      <w:r>
        <w:rPr>
          <w:rFonts w:hint="default" w:ascii="Times New Roman" w:hAnsi="Times New Roman" w:eastAsia="楷体_GB2312" w:cs="Times New Roman"/>
          <w:sz w:val="32"/>
          <w:szCs w:val="32"/>
        </w:rPr>
        <w:t>月</w:t>
      </w:r>
      <w:r>
        <w:rPr>
          <w:rFonts w:hint="eastAsia" w:ascii="Times New Roman" w:hAnsi="Times New Roman" w:eastAsia="楷体_GB2312" w:cs="Times New Roman"/>
          <w:sz w:val="32"/>
          <w:szCs w:val="32"/>
          <w:lang w:val="en-US" w:eastAsia="zh-CN"/>
        </w:rPr>
        <w:t>11</w:t>
      </w:r>
      <w:r>
        <w:rPr>
          <w:rFonts w:hint="default" w:ascii="Times New Roman" w:hAnsi="Times New Roman" w:eastAsia="楷体_GB2312" w:cs="Times New Roman"/>
          <w:sz w:val="32"/>
          <w:szCs w:val="32"/>
        </w:rPr>
        <w:t>日</w:t>
      </w:r>
    </w:p>
    <w:p w14:paraId="703739EC">
      <w:pPr>
        <w:keepNext w:val="0"/>
        <w:keepLines w:val="0"/>
        <w:pageBreakBefore w:val="0"/>
        <w:widowControl w:val="0"/>
        <w:kinsoku/>
        <w:wordWrap/>
        <w:overflowPunct w:val="0"/>
        <w:topLinePunct w:val="0"/>
        <w:autoSpaceDE w:val="0"/>
        <w:autoSpaceDN w:val="0"/>
        <w:bidi w:val="0"/>
        <w:adjustRightInd w:val="0"/>
        <w:snapToGrid w:val="0"/>
        <w:spacing w:line="640" w:lineRule="exact"/>
        <w:jc w:val="center"/>
        <w:textAlignment w:val="auto"/>
        <w:rPr>
          <w:rFonts w:hint="eastAsia" w:ascii="Times New Roman" w:hAnsi="Times New Roman" w:eastAsia="方正小标宋_GBK" w:cs="方正小标宋_GBK"/>
          <w:b w:val="0"/>
          <w:bCs/>
          <w:kern w:val="0"/>
          <w:sz w:val="44"/>
          <w:szCs w:val="44"/>
        </w:rPr>
      </w:pPr>
      <w:r>
        <w:rPr>
          <w:rFonts w:hint="eastAsia" w:ascii="Times New Roman" w:hAnsi="Times New Roman" w:eastAsia="方正小标宋_GBK" w:cs="方正小标宋_GBK"/>
          <w:b w:val="0"/>
          <w:bCs/>
          <w:kern w:val="0"/>
          <w:sz w:val="44"/>
          <w:szCs w:val="44"/>
        </w:rPr>
        <w:t>全州县国民经济和社会发展第十四个五年规划和2035年远景目标纲要主要指标和任务分工方案</w:t>
      </w:r>
    </w:p>
    <w:p w14:paraId="163087E9">
      <w:pPr>
        <w:pStyle w:val="27"/>
        <w:rPr>
          <w:rFonts w:ascii="Times New Roman" w:hAnsi="Times New Roman"/>
        </w:rPr>
      </w:pPr>
    </w:p>
    <w:p w14:paraId="03412AEF">
      <w:pPr>
        <w:pStyle w:val="27"/>
        <w:ind w:firstLine="607" w:firstLineChars="197"/>
        <w:rPr>
          <w:rStyle w:val="20"/>
          <w:rFonts w:ascii="Times New Roman" w:hAnsi="Times New Roman" w:eastAsia="黑体" w:cs="宋体"/>
          <w:b/>
          <w:color w:val="auto"/>
          <w:sz w:val="32"/>
          <w:szCs w:val="32"/>
        </w:rPr>
      </w:pPr>
      <w:r>
        <w:rPr>
          <w:rStyle w:val="20"/>
          <w:rFonts w:hint="eastAsia" w:ascii="Times New Roman" w:hAnsi="Times New Roman" w:eastAsia="黑体" w:cs="宋体"/>
          <w:b/>
          <w:color w:val="auto"/>
          <w:sz w:val="32"/>
          <w:szCs w:val="32"/>
        </w:rPr>
        <w:t>一、</w:t>
      </w:r>
      <w:r>
        <w:rPr>
          <w:rStyle w:val="20"/>
          <w:rFonts w:hint="eastAsia" w:ascii="Times New Roman" w:hAnsi="Times New Roman" w:eastAsia="黑体" w:cs="宋体"/>
          <w:color w:val="auto"/>
          <w:sz w:val="32"/>
          <w:szCs w:val="32"/>
        </w:rPr>
        <w:t>“十四五”时期经济社会发展主要指标</w:t>
      </w:r>
    </w:p>
    <w:p w14:paraId="520E20CF">
      <w:pPr>
        <w:overflowPunct w:val="0"/>
        <w:autoSpaceDE w:val="0"/>
        <w:autoSpaceDN w:val="0"/>
        <w:adjustRightInd w:val="0"/>
        <w:snapToGrid w:val="0"/>
        <w:spacing w:line="360" w:lineRule="auto"/>
        <w:jc w:val="center"/>
        <w:rPr>
          <w:rFonts w:ascii="Times New Roman" w:hAnsi="Times New Roman" w:eastAsia="仿宋_GB2312" w:cs="仿宋_GB2312"/>
          <w:b/>
          <w:bCs/>
          <w:kern w:val="0"/>
          <w:sz w:val="30"/>
          <w:szCs w:val="30"/>
        </w:rPr>
      </w:pPr>
      <w:r>
        <w:rPr>
          <w:rFonts w:hint="eastAsia" w:ascii="Times New Roman" w:hAnsi="Times New Roman" w:eastAsia="仿宋_GB2312" w:cs="仿宋_GB2312"/>
          <w:b/>
          <w:bCs/>
          <w:kern w:val="0"/>
          <w:sz w:val="30"/>
          <w:szCs w:val="30"/>
        </w:rPr>
        <w:t xml:space="preserve"> </w:t>
      </w:r>
    </w:p>
    <w:tbl>
      <w:tblPr>
        <w:tblStyle w:val="17"/>
        <w:tblW w:w="9650"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57"/>
        <w:gridCol w:w="3057"/>
        <w:gridCol w:w="1037"/>
        <w:gridCol w:w="1373"/>
        <w:gridCol w:w="1400"/>
        <w:gridCol w:w="1067"/>
        <w:gridCol w:w="1359"/>
      </w:tblGrid>
      <w:tr w14:paraId="49AA188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721" w:hRule="atLeast"/>
          <w:jc w:val="center"/>
        </w:trPr>
        <w:tc>
          <w:tcPr>
            <w:tcW w:w="357" w:type="dxa"/>
            <w:tcBorders>
              <w:left w:val="single" w:color="auto" w:sz="4" w:space="0"/>
            </w:tcBorders>
            <w:vAlign w:val="center"/>
          </w:tcPr>
          <w:p w14:paraId="6380508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类</w:t>
            </w:r>
          </w:p>
          <w:p w14:paraId="3DD4A607">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别</w:t>
            </w:r>
          </w:p>
        </w:tc>
        <w:tc>
          <w:tcPr>
            <w:tcW w:w="3057" w:type="dxa"/>
            <w:vAlign w:val="center"/>
          </w:tcPr>
          <w:p w14:paraId="5D3DF752">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指 标</w:t>
            </w:r>
          </w:p>
        </w:tc>
        <w:tc>
          <w:tcPr>
            <w:tcW w:w="1037" w:type="dxa"/>
            <w:vAlign w:val="center"/>
          </w:tcPr>
          <w:p w14:paraId="78A98E62">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2020年</w:t>
            </w:r>
          </w:p>
          <w:p w14:paraId="1B40E217">
            <w:pPr>
              <w:overflowPunct w:val="0"/>
              <w:autoSpaceDE w:val="0"/>
              <w:autoSpaceDN w:val="0"/>
              <w:spacing w:line="300" w:lineRule="exact"/>
              <w:ind w:firstLine="188" w:firstLineChars="100"/>
              <w:jc w:val="both"/>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目标值</w:t>
            </w:r>
          </w:p>
        </w:tc>
        <w:tc>
          <w:tcPr>
            <w:tcW w:w="1373" w:type="dxa"/>
            <w:vAlign w:val="center"/>
          </w:tcPr>
          <w:p w14:paraId="6E0405A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2025年</w:t>
            </w:r>
          </w:p>
          <w:p w14:paraId="544822E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目标值</w:t>
            </w:r>
          </w:p>
        </w:tc>
        <w:tc>
          <w:tcPr>
            <w:tcW w:w="1400" w:type="dxa"/>
            <w:vAlign w:val="center"/>
          </w:tcPr>
          <w:p w14:paraId="2DAE91D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“十四五”年均增长（%）</w:t>
            </w:r>
          </w:p>
        </w:tc>
        <w:tc>
          <w:tcPr>
            <w:tcW w:w="1067" w:type="dxa"/>
            <w:tcBorders>
              <w:right w:val="single" w:color="auto" w:sz="4" w:space="0"/>
            </w:tcBorders>
            <w:vAlign w:val="center"/>
          </w:tcPr>
          <w:p w14:paraId="2812A676">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指标</w:t>
            </w:r>
          </w:p>
          <w:p w14:paraId="5E1CCBDC">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属性</w:t>
            </w:r>
          </w:p>
        </w:tc>
        <w:tc>
          <w:tcPr>
            <w:tcW w:w="1359" w:type="dxa"/>
            <w:tcBorders>
              <w:right w:val="single" w:color="auto" w:sz="4" w:space="0"/>
            </w:tcBorders>
            <w:vAlign w:val="center"/>
          </w:tcPr>
          <w:p w14:paraId="1BDEAB81">
            <w:pPr>
              <w:overflowPunct w:val="0"/>
              <w:autoSpaceDE w:val="0"/>
              <w:autoSpaceDN w:val="0"/>
              <w:spacing w:line="300" w:lineRule="exact"/>
              <w:jc w:val="center"/>
              <w:rPr>
                <w:rFonts w:hint="default" w:ascii="Times New Roman" w:hAnsi="Times New Roman" w:eastAsia="仿宋_GB2312" w:cs="Times New Roman"/>
                <w:kern w:val="0"/>
                <w:sz w:val="20"/>
                <w:szCs w:val="20"/>
              </w:rPr>
            </w:pPr>
          </w:p>
          <w:p w14:paraId="3CE10EF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牵头单位</w:t>
            </w:r>
          </w:p>
        </w:tc>
      </w:tr>
      <w:tr w14:paraId="0DB8DAB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restart"/>
            <w:tcBorders>
              <w:left w:val="single" w:color="auto" w:sz="4" w:space="0"/>
            </w:tcBorders>
            <w:textDirection w:val="tbRlV"/>
            <w:vAlign w:val="center"/>
          </w:tcPr>
          <w:p w14:paraId="0283602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经济高质量发展</w:t>
            </w:r>
          </w:p>
        </w:tc>
        <w:tc>
          <w:tcPr>
            <w:tcW w:w="3057" w:type="dxa"/>
            <w:vAlign w:val="center"/>
          </w:tcPr>
          <w:p w14:paraId="00272AC5">
            <w:pPr>
              <w:overflowPunct w:val="0"/>
              <w:autoSpaceDE w:val="0"/>
              <w:autoSpaceDN w:val="0"/>
              <w:spacing w:line="300" w:lineRule="exact"/>
              <w:ind w:firstLine="188" w:firstLineChars="1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1.地区生产总值（亿元）</w:t>
            </w:r>
          </w:p>
        </w:tc>
        <w:tc>
          <w:tcPr>
            <w:tcW w:w="1037" w:type="dxa"/>
            <w:vAlign w:val="center"/>
          </w:tcPr>
          <w:p w14:paraId="1BB97F6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178.11</w:t>
            </w:r>
          </w:p>
        </w:tc>
        <w:tc>
          <w:tcPr>
            <w:tcW w:w="1373" w:type="dxa"/>
            <w:vAlign w:val="center"/>
          </w:tcPr>
          <w:p w14:paraId="31D9BB1E">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274.03</w:t>
            </w:r>
          </w:p>
        </w:tc>
        <w:tc>
          <w:tcPr>
            <w:tcW w:w="1400" w:type="dxa"/>
            <w:vAlign w:val="center"/>
          </w:tcPr>
          <w:p w14:paraId="759CF82E">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8</w:t>
            </w:r>
          </w:p>
        </w:tc>
        <w:tc>
          <w:tcPr>
            <w:tcW w:w="1067" w:type="dxa"/>
            <w:tcBorders>
              <w:right w:val="single" w:color="auto" w:sz="4" w:space="0"/>
            </w:tcBorders>
            <w:vAlign w:val="center"/>
          </w:tcPr>
          <w:p w14:paraId="1798C161">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5D15B182">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县发展改革局</w:t>
            </w:r>
          </w:p>
        </w:tc>
      </w:tr>
      <w:tr w14:paraId="2616986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11" w:hRule="atLeast"/>
          <w:jc w:val="center"/>
        </w:trPr>
        <w:tc>
          <w:tcPr>
            <w:tcW w:w="357" w:type="dxa"/>
            <w:vMerge w:val="continue"/>
            <w:tcBorders>
              <w:left w:val="single" w:color="auto" w:sz="4" w:space="0"/>
            </w:tcBorders>
            <w:vAlign w:val="center"/>
          </w:tcPr>
          <w:p w14:paraId="2A97CFFE">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2E084C6F">
            <w:pPr>
              <w:overflowPunct w:val="0"/>
              <w:autoSpaceDE w:val="0"/>
              <w:autoSpaceDN w:val="0"/>
              <w:spacing w:line="300" w:lineRule="exact"/>
              <w:ind w:firstLine="188" w:firstLineChars="1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2.人均地区生产总值（元/人）</w:t>
            </w:r>
          </w:p>
        </w:tc>
        <w:tc>
          <w:tcPr>
            <w:tcW w:w="1037" w:type="dxa"/>
            <w:vAlign w:val="center"/>
          </w:tcPr>
          <w:p w14:paraId="40AAFABB">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31130</w:t>
            </w:r>
          </w:p>
        </w:tc>
        <w:tc>
          <w:tcPr>
            <w:tcW w:w="1373" w:type="dxa"/>
            <w:vAlign w:val="center"/>
          </w:tcPr>
          <w:p w14:paraId="49DB4F45">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45740.18</w:t>
            </w:r>
          </w:p>
        </w:tc>
        <w:tc>
          <w:tcPr>
            <w:tcW w:w="1400" w:type="dxa"/>
            <w:vAlign w:val="center"/>
          </w:tcPr>
          <w:p w14:paraId="7336EE0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8</w:t>
            </w:r>
          </w:p>
        </w:tc>
        <w:tc>
          <w:tcPr>
            <w:tcW w:w="1067" w:type="dxa"/>
            <w:tcBorders>
              <w:right w:val="single" w:color="auto" w:sz="4" w:space="0"/>
            </w:tcBorders>
            <w:vAlign w:val="center"/>
          </w:tcPr>
          <w:p w14:paraId="2D5FABA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2069BE8D">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县发展改革局</w:t>
            </w:r>
          </w:p>
        </w:tc>
      </w:tr>
      <w:tr w14:paraId="74519FF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continue"/>
            <w:tcBorders>
              <w:left w:val="single" w:color="auto" w:sz="4" w:space="0"/>
            </w:tcBorders>
            <w:vAlign w:val="center"/>
          </w:tcPr>
          <w:p w14:paraId="4CB149A8">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57F36976">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3.财政收入（亿元）</w:t>
            </w:r>
          </w:p>
        </w:tc>
        <w:tc>
          <w:tcPr>
            <w:tcW w:w="1037" w:type="dxa"/>
            <w:vAlign w:val="center"/>
          </w:tcPr>
          <w:p w14:paraId="0653AAA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7.1859</w:t>
            </w:r>
          </w:p>
        </w:tc>
        <w:tc>
          <w:tcPr>
            <w:tcW w:w="1373" w:type="dxa"/>
            <w:vAlign w:val="center"/>
          </w:tcPr>
          <w:p w14:paraId="44EAA76E">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9.17</w:t>
            </w:r>
          </w:p>
        </w:tc>
        <w:tc>
          <w:tcPr>
            <w:tcW w:w="1400" w:type="dxa"/>
            <w:vAlign w:val="center"/>
          </w:tcPr>
          <w:p w14:paraId="174280D2">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w:t>
            </w:r>
          </w:p>
        </w:tc>
        <w:tc>
          <w:tcPr>
            <w:tcW w:w="1067" w:type="dxa"/>
            <w:tcBorders>
              <w:right w:val="single" w:color="auto" w:sz="4" w:space="0"/>
            </w:tcBorders>
            <w:vAlign w:val="center"/>
          </w:tcPr>
          <w:p w14:paraId="2795AFB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55EB7D97">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县财政局</w:t>
            </w:r>
          </w:p>
        </w:tc>
      </w:tr>
      <w:tr w14:paraId="1B47BFC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continue"/>
            <w:tcBorders>
              <w:left w:val="single" w:color="auto" w:sz="4" w:space="0"/>
            </w:tcBorders>
            <w:vAlign w:val="center"/>
          </w:tcPr>
          <w:p w14:paraId="53B6DE26">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573C2F85">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4.固定资产投资（亿元）</w:t>
            </w:r>
          </w:p>
        </w:tc>
        <w:tc>
          <w:tcPr>
            <w:tcW w:w="1037" w:type="dxa"/>
            <w:vAlign w:val="center"/>
          </w:tcPr>
          <w:p w14:paraId="70A36F9D">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92.46</w:t>
            </w:r>
          </w:p>
        </w:tc>
        <w:tc>
          <w:tcPr>
            <w:tcW w:w="1373" w:type="dxa"/>
            <w:vAlign w:val="center"/>
          </w:tcPr>
          <w:p w14:paraId="4CFBB26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195.97</w:t>
            </w:r>
          </w:p>
        </w:tc>
        <w:tc>
          <w:tcPr>
            <w:tcW w:w="1400" w:type="dxa"/>
            <w:vAlign w:val="center"/>
          </w:tcPr>
          <w:p w14:paraId="14A8C299">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15</w:t>
            </w:r>
          </w:p>
        </w:tc>
        <w:tc>
          <w:tcPr>
            <w:tcW w:w="1067" w:type="dxa"/>
            <w:tcBorders>
              <w:right w:val="single" w:color="auto" w:sz="4" w:space="0"/>
            </w:tcBorders>
            <w:vAlign w:val="center"/>
          </w:tcPr>
          <w:p w14:paraId="5A8B5524">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2E41C93A">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县发展改革局</w:t>
            </w:r>
          </w:p>
        </w:tc>
      </w:tr>
      <w:tr w14:paraId="423F21B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continue"/>
            <w:tcBorders>
              <w:left w:val="single" w:color="auto" w:sz="4" w:space="0"/>
            </w:tcBorders>
            <w:vAlign w:val="center"/>
          </w:tcPr>
          <w:p w14:paraId="49E1DF2D">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245E5711">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5.社会消费品零售总额（亿元）</w:t>
            </w:r>
          </w:p>
        </w:tc>
        <w:tc>
          <w:tcPr>
            <w:tcW w:w="1037" w:type="dxa"/>
            <w:vAlign w:val="center"/>
          </w:tcPr>
          <w:p w14:paraId="3AF4DC7D">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40.65</w:t>
            </w:r>
          </w:p>
        </w:tc>
        <w:tc>
          <w:tcPr>
            <w:tcW w:w="1373" w:type="dxa"/>
            <w:vAlign w:val="center"/>
          </w:tcPr>
          <w:p w14:paraId="336050A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81.76</w:t>
            </w:r>
          </w:p>
        </w:tc>
        <w:tc>
          <w:tcPr>
            <w:tcW w:w="1400" w:type="dxa"/>
            <w:vAlign w:val="center"/>
          </w:tcPr>
          <w:p w14:paraId="496D11C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15</w:t>
            </w:r>
          </w:p>
        </w:tc>
        <w:tc>
          <w:tcPr>
            <w:tcW w:w="1067" w:type="dxa"/>
            <w:tcBorders>
              <w:right w:val="single" w:color="auto" w:sz="4" w:space="0"/>
            </w:tcBorders>
            <w:vAlign w:val="center"/>
          </w:tcPr>
          <w:p w14:paraId="5583B4A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02995B3A">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县投资促进局</w:t>
            </w:r>
          </w:p>
        </w:tc>
      </w:tr>
      <w:tr w14:paraId="62698B3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7" w:type="dxa"/>
            <w:vMerge w:val="continue"/>
            <w:tcBorders>
              <w:left w:val="single" w:color="auto" w:sz="4" w:space="0"/>
            </w:tcBorders>
            <w:vAlign w:val="center"/>
          </w:tcPr>
          <w:p w14:paraId="6565D2F8">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32723A30">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6.工业增加值（亿元）</w:t>
            </w:r>
          </w:p>
        </w:tc>
        <w:tc>
          <w:tcPr>
            <w:tcW w:w="1037" w:type="dxa"/>
            <w:vAlign w:val="center"/>
          </w:tcPr>
          <w:p w14:paraId="181615D0">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14.32</w:t>
            </w:r>
          </w:p>
        </w:tc>
        <w:tc>
          <w:tcPr>
            <w:tcW w:w="1373" w:type="dxa"/>
            <w:vAlign w:val="center"/>
          </w:tcPr>
          <w:p w14:paraId="5C4C8822">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28.8</w:t>
            </w:r>
          </w:p>
        </w:tc>
        <w:tc>
          <w:tcPr>
            <w:tcW w:w="1400" w:type="dxa"/>
            <w:vAlign w:val="center"/>
          </w:tcPr>
          <w:p w14:paraId="102744D1">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15</w:t>
            </w:r>
          </w:p>
        </w:tc>
        <w:tc>
          <w:tcPr>
            <w:tcW w:w="1067" w:type="dxa"/>
            <w:tcBorders>
              <w:right w:val="single" w:color="auto" w:sz="4" w:space="0"/>
            </w:tcBorders>
            <w:vAlign w:val="center"/>
          </w:tcPr>
          <w:p w14:paraId="014764A2">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58CCFE8D">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县工业和信息化局</w:t>
            </w:r>
          </w:p>
        </w:tc>
      </w:tr>
      <w:tr w14:paraId="6086337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continue"/>
            <w:tcBorders>
              <w:left w:val="single" w:color="auto" w:sz="4" w:space="0"/>
            </w:tcBorders>
            <w:vAlign w:val="center"/>
          </w:tcPr>
          <w:p w14:paraId="26397308">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380BF534">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7.服务业增加值比重（%）</w:t>
            </w:r>
          </w:p>
        </w:tc>
        <w:tc>
          <w:tcPr>
            <w:tcW w:w="1037" w:type="dxa"/>
            <w:vAlign w:val="center"/>
          </w:tcPr>
          <w:p w14:paraId="598C6349">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47.4</w:t>
            </w:r>
          </w:p>
        </w:tc>
        <w:tc>
          <w:tcPr>
            <w:tcW w:w="1373" w:type="dxa"/>
            <w:vAlign w:val="center"/>
          </w:tcPr>
          <w:p w14:paraId="65035752">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55.4</w:t>
            </w:r>
          </w:p>
        </w:tc>
        <w:tc>
          <w:tcPr>
            <w:tcW w:w="1400" w:type="dxa"/>
            <w:vAlign w:val="center"/>
          </w:tcPr>
          <w:p w14:paraId="3AEA5A11">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[8]</w:t>
            </w:r>
          </w:p>
        </w:tc>
        <w:tc>
          <w:tcPr>
            <w:tcW w:w="1067" w:type="dxa"/>
            <w:tcBorders>
              <w:right w:val="single" w:color="auto" w:sz="4" w:space="0"/>
            </w:tcBorders>
            <w:vAlign w:val="center"/>
          </w:tcPr>
          <w:p w14:paraId="68E73367">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1D5F9C6C">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县发展改革局</w:t>
            </w:r>
          </w:p>
        </w:tc>
      </w:tr>
      <w:tr w14:paraId="6572789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79" w:hRule="atLeast"/>
          <w:jc w:val="center"/>
        </w:trPr>
        <w:tc>
          <w:tcPr>
            <w:tcW w:w="357" w:type="dxa"/>
            <w:vMerge w:val="continue"/>
            <w:tcBorders>
              <w:left w:val="single" w:color="auto" w:sz="4" w:space="0"/>
            </w:tcBorders>
            <w:vAlign w:val="center"/>
          </w:tcPr>
          <w:p w14:paraId="06883C0E">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1CF86B0D">
            <w:pPr>
              <w:overflowPunct w:val="0"/>
              <w:autoSpaceDE w:val="0"/>
              <w:autoSpaceDN w:val="0"/>
              <w:spacing w:line="24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8.常住人口城镇化率（%）</w:t>
            </w:r>
          </w:p>
        </w:tc>
        <w:tc>
          <w:tcPr>
            <w:tcW w:w="1037" w:type="dxa"/>
            <w:vAlign w:val="center"/>
          </w:tcPr>
          <w:p w14:paraId="147D803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38</w:t>
            </w:r>
          </w:p>
        </w:tc>
        <w:tc>
          <w:tcPr>
            <w:tcW w:w="1373" w:type="dxa"/>
            <w:vAlign w:val="center"/>
          </w:tcPr>
          <w:p w14:paraId="4C495E4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45.5</w:t>
            </w:r>
          </w:p>
        </w:tc>
        <w:tc>
          <w:tcPr>
            <w:tcW w:w="1400" w:type="dxa"/>
            <w:vAlign w:val="center"/>
          </w:tcPr>
          <w:p w14:paraId="01FDE42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[7.5]</w:t>
            </w:r>
          </w:p>
        </w:tc>
        <w:tc>
          <w:tcPr>
            <w:tcW w:w="1067" w:type="dxa"/>
            <w:tcBorders>
              <w:right w:val="single" w:color="auto" w:sz="4" w:space="0"/>
            </w:tcBorders>
            <w:vAlign w:val="center"/>
          </w:tcPr>
          <w:p w14:paraId="5DE950F2">
            <w:pPr>
              <w:overflowPunct w:val="0"/>
              <w:autoSpaceDE w:val="0"/>
              <w:autoSpaceDN w:val="0"/>
              <w:spacing w:line="24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65B706D0">
            <w:pPr>
              <w:overflowPunct w:val="0"/>
              <w:autoSpaceDE w:val="0"/>
              <w:autoSpaceDN w:val="0"/>
              <w:spacing w:line="24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县发展改革局</w:t>
            </w:r>
            <w:r>
              <w:rPr>
                <w:rFonts w:hint="default" w:ascii="Times New Roman" w:hAnsi="Times New Roman" w:eastAsia="仿宋_GB2312" w:cs="Times New Roman"/>
                <w:kern w:val="0"/>
                <w:sz w:val="20"/>
                <w:szCs w:val="20"/>
              </w:rPr>
              <w:t>、</w:t>
            </w:r>
            <w:r>
              <w:rPr>
                <w:rFonts w:hint="eastAsia" w:ascii="Times New Roman" w:hAnsi="Times New Roman" w:eastAsia="仿宋_GB2312" w:cs="Times New Roman"/>
                <w:kern w:val="0"/>
                <w:sz w:val="20"/>
                <w:szCs w:val="20"/>
                <w:lang w:eastAsia="zh-CN"/>
              </w:rPr>
              <w:t>县住房城乡建设局</w:t>
            </w:r>
          </w:p>
        </w:tc>
      </w:tr>
      <w:tr w14:paraId="3A50B78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08" w:hRule="atLeast"/>
          <w:jc w:val="center"/>
        </w:trPr>
        <w:tc>
          <w:tcPr>
            <w:tcW w:w="357" w:type="dxa"/>
            <w:vMerge w:val="continue"/>
            <w:tcBorders>
              <w:left w:val="single" w:color="auto" w:sz="4" w:space="0"/>
            </w:tcBorders>
            <w:vAlign w:val="center"/>
          </w:tcPr>
          <w:p w14:paraId="3E1C23C5">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61962D06">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9.接待旅游总人数（万人次）</w:t>
            </w:r>
          </w:p>
        </w:tc>
        <w:tc>
          <w:tcPr>
            <w:tcW w:w="1037" w:type="dxa"/>
            <w:vAlign w:val="center"/>
          </w:tcPr>
          <w:p w14:paraId="536F6C7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582.42</w:t>
            </w:r>
          </w:p>
        </w:tc>
        <w:tc>
          <w:tcPr>
            <w:tcW w:w="1373" w:type="dxa"/>
            <w:vAlign w:val="center"/>
          </w:tcPr>
          <w:p w14:paraId="19AF44FC">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937.96</w:t>
            </w:r>
          </w:p>
        </w:tc>
        <w:tc>
          <w:tcPr>
            <w:tcW w:w="1400" w:type="dxa"/>
            <w:vAlign w:val="center"/>
          </w:tcPr>
          <w:p w14:paraId="5EC4F1F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10</w:t>
            </w:r>
          </w:p>
        </w:tc>
        <w:tc>
          <w:tcPr>
            <w:tcW w:w="1067" w:type="dxa"/>
            <w:tcBorders>
              <w:right w:val="single" w:color="auto" w:sz="4" w:space="0"/>
            </w:tcBorders>
            <w:vAlign w:val="center"/>
          </w:tcPr>
          <w:p w14:paraId="7441EAE2">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1C38C7CE">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县文化广电体育和旅游局</w:t>
            </w:r>
          </w:p>
        </w:tc>
      </w:tr>
      <w:tr w14:paraId="4EA9A11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continue"/>
            <w:tcBorders>
              <w:left w:val="single" w:color="auto" w:sz="4" w:space="0"/>
            </w:tcBorders>
            <w:vAlign w:val="center"/>
          </w:tcPr>
          <w:p w14:paraId="72660B15">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59BFB90B">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10.旅游总收入（亿元）</w:t>
            </w:r>
          </w:p>
        </w:tc>
        <w:tc>
          <w:tcPr>
            <w:tcW w:w="1037" w:type="dxa"/>
            <w:vAlign w:val="center"/>
          </w:tcPr>
          <w:p w14:paraId="14BC346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58.77</w:t>
            </w:r>
          </w:p>
        </w:tc>
        <w:tc>
          <w:tcPr>
            <w:tcW w:w="1373" w:type="dxa"/>
            <w:vAlign w:val="center"/>
          </w:tcPr>
          <w:p w14:paraId="7956005D">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105.9</w:t>
            </w:r>
          </w:p>
        </w:tc>
        <w:tc>
          <w:tcPr>
            <w:tcW w:w="1400" w:type="dxa"/>
            <w:vAlign w:val="center"/>
          </w:tcPr>
          <w:p w14:paraId="4A25B40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12.5</w:t>
            </w:r>
          </w:p>
        </w:tc>
        <w:tc>
          <w:tcPr>
            <w:tcW w:w="1067" w:type="dxa"/>
            <w:tcBorders>
              <w:right w:val="single" w:color="auto" w:sz="4" w:space="0"/>
            </w:tcBorders>
            <w:vAlign w:val="center"/>
          </w:tcPr>
          <w:p w14:paraId="6266EF7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252476F5">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县文化广电体育和旅游局</w:t>
            </w:r>
          </w:p>
        </w:tc>
      </w:tr>
      <w:tr w14:paraId="48A8D97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027" w:hRule="atLeast"/>
          <w:jc w:val="center"/>
        </w:trPr>
        <w:tc>
          <w:tcPr>
            <w:tcW w:w="357" w:type="dxa"/>
            <w:tcBorders>
              <w:left w:val="single" w:color="auto" w:sz="4" w:space="0"/>
            </w:tcBorders>
            <w:textDirection w:val="tbRlV"/>
            <w:vAlign w:val="center"/>
          </w:tcPr>
          <w:p w14:paraId="2CB4DAE4">
            <w:pPr>
              <w:overflowPunct w:val="0"/>
              <w:autoSpaceDE w:val="0"/>
              <w:autoSpaceDN w:val="0"/>
              <w:spacing w:line="300" w:lineRule="exact"/>
              <w:ind w:left="113" w:right="113"/>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创新驱动</w:t>
            </w:r>
          </w:p>
        </w:tc>
        <w:tc>
          <w:tcPr>
            <w:tcW w:w="3057" w:type="dxa"/>
            <w:vAlign w:val="center"/>
          </w:tcPr>
          <w:p w14:paraId="4F930EE2">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11.每万人口发明专利</w:t>
            </w:r>
          </w:p>
          <w:p w14:paraId="30A6AE4A">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拥有量（件）</w:t>
            </w:r>
          </w:p>
        </w:tc>
        <w:tc>
          <w:tcPr>
            <w:tcW w:w="1037" w:type="dxa"/>
            <w:vAlign w:val="center"/>
          </w:tcPr>
          <w:p w14:paraId="5609532D">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4D8BC60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6A7DC621">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1C17B82C">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3B224D5C">
            <w:pPr>
              <w:overflowPunct w:val="0"/>
              <w:autoSpaceDE w:val="0"/>
              <w:autoSpaceDN w:val="0"/>
              <w:spacing w:line="300" w:lineRule="exact"/>
              <w:jc w:val="center"/>
              <w:rPr>
                <w:rFonts w:hint="default" w:ascii="Times New Roman" w:hAnsi="Times New Roman" w:eastAsia="仿宋_GB2312" w:cs="Times New Roman"/>
                <w:kern w:val="0"/>
                <w:sz w:val="20"/>
                <w:szCs w:val="20"/>
              </w:rPr>
            </w:pPr>
          </w:p>
          <w:p w14:paraId="06C52854">
            <w:pPr>
              <w:overflowPunct w:val="0"/>
              <w:autoSpaceDE w:val="0"/>
              <w:autoSpaceDN w:val="0"/>
              <w:spacing w:line="300" w:lineRule="exact"/>
              <w:jc w:val="center"/>
              <w:rPr>
                <w:rFonts w:hint="eastAsia" w:ascii="Times New Roman" w:hAnsi="Times New Roman" w:eastAsia="仿宋_GB2312" w:cs="Times New Roman"/>
                <w:color w:val="000000" w:themeColor="text1"/>
                <w:kern w:val="0"/>
                <w:sz w:val="20"/>
                <w:szCs w:val="20"/>
                <w:lang w:eastAsia="zh-CN"/>
              </w:rPr>
            </w:pPr>
            <w:r>
              <w:rPr>
                <w:rFonts w:hint="eastAsia" w:ascii="Times New Roman" w:hAnsi="Times New Roman" w:eastAsia="仿宋_GB2312" w:cs="Times New Roman"/>
                <w:color w:val="000000" w:themeColor="text1"/>
                <w:kern w:val="0"/>
                <w:sz w:val="20"/>
                <w:szCs w:val="20"/>
                <w:lang w:eastAsia="zh-CN"/>
              </w:rPr>
              <w:t>县市场监管局</w:t>
            </w:r>
          </w:p>
        </w:tc>
      </w:tr>
      <w:tr w14:paraId="1833526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357" w:type="dxa"/>
            <w:vMerge w:val="restart"/>
            <w:tcBorders>
              <w:left w:val="single" w:color="auto" w:sz="4" w:space="0"/>
            </w:tcBorders>
            <w:vAlign w:val="center"/>
          </w:tcPr>
          <w:p w14:paraId="2264DC3F">
            <w:pPr>
              <w:overflowPunct w:val="0"/>
              <w:autoSpaceDE w:val="0"/>
              <w:autoSpaceDN w:val="0"/>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民生福祉</w:t>
            </w:r>
          </w:p>
        </w:tc>
        <w:tc>
          <w:tcPr>
            <w:tcW w:w="3057" w:type="dxa"/>
            <w:vAlign w:val="center"/>
          </w:tcPr>
          <w:p w14:paraId="4C3BC03A">
            <w:pPr>
              <w:overflowPunct w:val="0"/>
              <w:autoSpaceDE w:val="0"/>
              <w:autoSpaceDN w:val="0"/>
              <w:spacing w:line="300" w:lineRule="exact"/>
              <w:ind w:firstLine="188" w:firstLineChars="1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12.城镇居民人均可支配收入</w:t>
            </w:r>
          </w:p>
        </w:tc>
        <w:tc>
          <w:tcPr>
            <w:tcW w:w="1037" w:type="dxa"/>
            <w:vAlign w:val="center"/>
          </w:tcPr>
          <w:p w14:paraId="1474AAB9">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36860</w:t>
            </w:r>
          </w:p>
        </w:tc>
        <w:tc>
          <w:tcPr>
            <w:tcW w:w="1373" w:type="dxa"/>
            <w:vAlign w:val="center"/>
          </w:tcPr>
          <w:p w14:paraId="3258F793">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53163</w:t>
            </w:r>
          </w:p>
        </w:tc>
        <w:tc>
          <w:tcPr>
            <w:tcW w:w="1400" w:type="dxa"/>
            <w:vAlign w:val="center"/>
          </w:tcPr>
          <w:p w14:paraId="0C6EF099">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7.6</w:t>
            </w:r>
          </w:p>
        </w:tc>
        <w:tc>
          <w:tcPr>
            <w:tcW w:w="1067" w:type="dxa"/>
            <w:tcBorders>
              <w:right w:val="single" w:color="auto" w:sz="4" w:space="0"/>
            </w:tcBorders>
            <w:vAlign w:val="center"/>
          </w:tcPr>
          <w:p w14:paraId="482AFB0D">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1B17AF11">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县发展改革局</w:t>
            </w:r>
          </w:p>
        </w:tc>
      </w:tr>
      <w:tr w14:paraId="26B120C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continue"/>
            <w:tcBorders>
              <w:left w:val="single" w:color="auto" w:sz="4" w:space="0"/>
            </w:tcBorders>
            <w:vAlign w:val="center"/>
          </w:tcPr>
          <w:p w14:paraId="72D647E8">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1F98D44C">
            <w:pPr>
              <w:overflowPunct w:val="0"/>
              <w:autoSpaceDE w:val="0"/>
              <w:autoSpaceDN w:val="0"/>
              <w:spacing w:line="300" w:lineRule="exact"/>
              <w:ind w:firstLine="188" w:firstLineChars="1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13.农村居民人均纯收入</w:t>
            </w:r>
          </w:p>
        </w:tc>
        <w:tc>
          <w:tcPr>
            <w:tcW w:w="1037" w:type="dxa"/>
            <w:vAlign w:val="center"/>
          </w:tcPr>
          <w:p w14:paraId="4F65304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17759</w:t>
            </w:r>
          </w:p>
        </w:tc>
        <w:tc>
          <w:tcPr>
            <w:tcW w:w="1373" w:type="dxa"/>
            <w:vAlign w:val="center"/>
          </w:tcPr>
          <w:p w14:paraId="520D754E">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27324</w:t>
            </w:r>
          </w:p>
        </w:tc>
        <w:tc>
          <w:tcPr>
            <w:tcW w:w="1400" w:type="dxa"/>
            <w:vAlign w:val="center"/>
          </w:tcPr>
          <w:p w14:paraId="06A86365">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9</w:t>
            </w:r>
          </w:p>
        </w:tc>
        <w:tc>
          <w:tcPr>
            <w:tcW w:w="1067" w:type="dxa"/>
            <w:tcBorders>
              <w:right w:val="single" w:color="auto" w:sz="4" w:space="0"/>
            </w:tcBorders>
            <w:vAlign w:val="center"/>
          </w:tcPr>
          <w:p w14:paraId="6E279F0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61F8E0A5">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县农业农村局</w:t>
            </w:r>
          </w:p>
        </w:tc>
      </w:tr>
      <w:tr w14:paraId="046FF17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357" w:type="dxa"/>
            <w:vMerge w:val="continue"/>
            <w:tcBorders>
              <w:left w:val="single" w:color="auto" w:sz="4" w:space="0"/>
            </w:tcBorders>
            <w:vAlign w:val="center"/>
          </w:tcPr>
          <w:p w14:paraId="6657B75C">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24E5FD13">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14.城镇调查失业率（%）</w:t>
            </w:r>
          </w:p>
        </w:tc>
        <w:tc>
          <w:tcPr>
            <w:tcW w:w="1037" w:type="dxa"/>
            <w:vAlign w:val="center"/>
          </w:tcPr>
          <w:p w14:paraId="347DFA5C">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3.26%</w:t>
            </w:r>
          </w:p>
        </w:tc>
        <w:tc>
          <w:tcPr>
            <w:tcW w:w="1373" w:type="dxa"/>
            <w:vAlign w:val="center"/>
          </w:tcPr>
          <w:p w14:paraId="2D792EF4">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 5.8</w:t>
            </w:r>
          </w:p>
        </w:tc>
        <w:tc>
          <w:tcPr>
            <w:tcW w:w="1400" w:type="dxa"/>
            <w:vAlign w:val="center"/>
          </w:tcPr>
          <w:p w14:paraId="26016C5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067" w:type="dxa"/>
            <w:tcBorders>
              <w:right w:val="single" w:color="auto" w:sz="4" w:space="0"/>
            </w:tcBorders>
            <w:vAlign w:val="center"/>
          </w:tcPr>
          <w:p w14:paraId="49F3A423">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73FEA048">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县人力资源社会保障局</w:t>
            </w:r>
          </w:p>
        </w:tc>
      </w:tr>
      <w:tr w14:paraId="500BEF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continue"/>
            <w:tcBorders>
              <w:left w:val="single" w:color="auto" w:sz="4" w:space="0"/>
            </w:tcBorders>
            <w:vAlign w:val="center"/>
          </w:tcPr>
          <w:p w14:paraId="2462256F">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6592F1E2">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15.城镇新增就业人数（人）</w:t>
            </w:r>
          </w:p>
        </w:tc>
        <w:tc>
          <w:tcPr>
            <w:tcW w:w="1037" w:type="dxa"/>
            <w:vAlign w:val="center"/>
          </w:tcPr>
          <w:p w14:paraId="7B906347">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6114人</w:t>
            </w:r>
          </w:p>
        </w:tc>
        <w:tc>
          <w:tcPr>
            <w:tcW w:w="1373" w:type="dxa"/>
            <w:vAlign w:val="center"/>
          </w:tcPr>
          <w:p w14:paraId="1845016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5AEDE0DB">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318E6D51">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预期性</w:t>
            </w:r>
          </w:p>
        </w:tc>
        <w:tc>
          <w:tcPr>
            <w:tcW w:w="1359" w:type="dxa"/>
            <w:tcBorders>
              <w:right w:val="single" w:color="auto" w:sz="4" w:space="0"/>
            </w:tcBorders>
            <w:vAlign w:val="center"/>
          </w:tcPr>
          <w:p w14:paraId="0FFA3F14">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县人力资源社会保障局</w:t>
            </w:r>
          </w:p>
        </w:tc>
      </w:tr>
      <w:tr w14:paraId="71C7757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357" w:type="dxa"/>
            <w:vMerge w:val="continue"/>
            <w:tcBorders>
              <w:left w:val="single" w:color="auto" w:sz="4" w:space="0"/>
            </w:tcBorders>
            <w:vAlign w:val="center"/>
          </w:tcPr>
          <w:p w14:paraId="217798DD">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443194C6">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16.农村贫困人口脱贫（人）</w:t>
            </w:r>
          </w:p>
        </w:tc>
        <w:tc>
          <w:tcPr>
            <w:tcW w:w="1037" w:type="dxa"/>
            <w:vAlign w:val="center"/>
          </w:tcPr>
          <w:p w14:paraId="35FA0C39">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569302C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79.3</w:t>
            </w:r>
          </w:p>
        </w:tc>
        <w:tc>
          <w:tcPr>
            <w:tcW w:w="1400" w:type="dxa"/>
            <w:vAlign w:val="center"/>
          </w:tcPr>
          <w:p w14:paraId="2581E3C0">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[0.5]</w:t>
            </w:r>
          </w:p>
        </w:tc>
        <w:tc>
          <w:tcPr>
            <w:tcW w:w="1067" w:type="dxa"/>
            <w:tcBorders>
              <w:right w:val="single" w:color="auto" w:sz="4" w:space="0"/>
            </w:tcBorders>
            <w:vAlign w:val="center"/>
          </w:tcPr>
          <w:p w14:paraId="5F0BF7DC">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1B8EBE75">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县乡村振兴局</w:t>
            </w:r>
          </w:p>
        </w:tc>
      </w:tr>
      <w:tr w14:paraId="043306A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98" w:hRule="atLeast"/>
          <w:jc w:val="center"/>
        </w:trPr>
        <w:tc>
          <w:tcPr>
            <w:tcW w:w="357" w:type="dxa"/>
            <w:vMerge w:val="continue"/>
            <w:tcBorders>
              <w:left w:val="single" w:color="auto" w:sz="4" w:space="0"/>
            </w:tcBorders>
            <w:vAlign w:val="center"/>
          </w:tcPr>
          <w:p w14:paraId="3CA2A71F">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1D733149">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17.城镇保障性住房建设和棚户区改造（套）</w:t>
            </w:r>
          </w:p>
        </w:tc>
        <w:tc>
          <w:tcPr>
            <w:tcW w:w="1037" w:type="dxa"/>
            <w:vAlign w:val="center"/>
          </w:tcPr>
          <w:p w14:paraId="1939311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09DBD02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6EE8A61D">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6BF7CB20">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33565C34">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县住房城乡建设局</w:t>
            </w:r>
          </w:p>
        </w:tc>
      </w:tr>
      <w:tr w14:paraId="27E9A12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3" w:hRule="atLeast"/>
          <w:jc w:val="center"/>
        </w:trPr>
        <w:tc>
          <w:tcPr>
            <w:tcW w:w="357" w:type="dxa"/>
            <w:vMerge w:val="continue"/>
            <w:tcBorders>
              <w:left w:val="single" w:color="auto" w:sz="4" w:space="0"/>
            </w:tcBorders>
            <w:vAlign w:val="center"/>
          </w:tcPr>
          <w:p w14:paraId="760DD4ED">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2166AE90">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18.劳动力平均受教育年限（年）</w:t>
            </w:r>
          </w:p>
        </w:tc>
        <w:tc>
          <w:tcPr>
            <w:tcW w:w="1037" w:type="dxa"/>
            <w:vAlign w:val="center"/>
          </w:tcPr>
          <w:p w14:paraId="3042FDF3">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30567D70">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11.5</w:t>
            </w:r>
          </w:p>
        </w:tc>
        <w:tc>
          <w:tcPr>
            <w:tcW w:w="1400" w:type="dxa"/>
            <w:vAlign w:val="center"/>
          </w:tcPr>
          <w:p w14:paraId="030492C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w:t>
            </w:r>
          </w:p>
        </w:tc>
        <w:tc>
          <w:tcPr>
            <w:tcW w:w="1067" w:type="dxa"/>
            <w:tcBorders>
              <w:right w:val="single" w:color="auto" w:sz="4" w:space="0"/>
            </w:tcBorders>
            <w:vAlign w:val="center"/>
          </w:tcPr>
          <w:p w14:paraId="716DC66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6A6B7FF5">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县教育局</w:t>
            </w:r>
          </w:p>
        </w:tc>
      </w:tr>
      <w:tr w14:paraId="14B2610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83" w:hRule="atLeast"/>
          <w:jc w:val="center"/>
        </w:trPr>
        <w:tc>
          <w:tcPr>
            <w:tcW w:w="357" w:type="dxa"/>
            <w:vMerge w:val="continue"/>
            <w:tcBorders>
              <w:left w:val="single" w:color="auto" w:sz="4" w:space="0"/>
            </w:tcBorders>
            <w:vAlign w:val="center"/>
          </w:tcPr>
          <w:p w14:paraId="3E6D07BF">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5CD256EE">
            <w:pPr>
              <w:overflowPunct w:val="0"/>
              <w:autoSpaceDE w:val="0"/>
              <w:autoSpaceDN w:val="0"/>
              <w:spacing w:line="360" w:lineRule="auto"/>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19.基本养老保险参保率（%）</w:t>
            </w:r>
          </w:p>
        </w:tc>
        <w:tc>
          <w:tcPr>
            <w:tcW w:w="1037" w:type="dxa"/>
            <w:vAlign w:val="center"/>
          </w:tcPr>
          <w:p w14:paraId="1F064DF4">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93.4</w:t>
            </w:r>
          </w:p>
        </w:tc>
        <w:tc>
          <w:tcPr>
            <w:tcW w:w="1373" w:type="dxa"/>
            <w:vAlign w:val="center"/>
          </w:tcPr>
          <w:p w14:paraId="2AA40A79">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≥96</w:t>
            </w:r>
          </w:p>
        </w:tc>
        <w:tc>
          <w:tcPr>
            <w:tcW w:w="1400" w:type="dxa"/>
            <w:vAlign w:val="center"/>
          </w:tcPr>
          <w:p w14:paraId="4F12B98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067" w:type="dxa"/>
            <w:tcBorders>
              <w:right w:val="single" w:color="auto" w:sz="4" w:space="0"/>
            </w:tcBorders>
            <w:vAlign w:val="center"/>
          </w:tcPr>
          <w:p w14:paraId="14E54AB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51342DFB">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县人力资源社会保障局</w:t>
            </w:r>
          </w:p>
        </w:tc>
      </w:tr>
      <w:tr w14:paraId="25724CD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restart"/>
            <w:tcBorders>
              <w:left w:val="single" w:color="auto" w:sz="4" w:space="0"/>
            </w:tcBorders>
            <w:textDirection w:val="tbRlV"/>
            <w:vAlign w:val="center"/>
          </w:tcPr>
          <w:p w14:paraId="3E3E752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生态文明</w:t>
            </w:r>
          </w:p>
        </w:tc>
        <w:tc>
          <w:tcPr>
            <w:tcW w:w="3057" w:type="dxa"/>
            <w:vAlign w:val="center"/>
          </w:tcPr>
          <w:p w14:paraId="57EC377F">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20.耕地保有量（公顷）</w:t>
            </w:r>
          </w:p>
        </w:tc>
        <w:tc>
          <w:tcPr>
            <w:tcW w:w="1037" w:type="dxa"/>
            <w:vAlign w:val="center"/>
          </w:tcPr>
          <w:p w14:paraId="139D47C2">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0B72651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33CE1703">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682F1735">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69CA2FE7">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县自然资源局</w:t>
            </w:r>
          </w:p>
        </w:tc>
      </w:tr>
      <w:tr w14:paraId="50990CE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357" w:type="dxa"/>
            <w:vMerge w:val="continue"/>
            <w:tcBorders>
              <w:left w:val="single" w:color="auto" w:sz="4" w:space="0"/>
            </w:tcBorders>
            <w:vAlign w:val="center"/>
          </w:tcPr>
          <w:p w14:paraId="1B86093F">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54909540">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21.新增建设用地规模（公顷）</w:t>
            </w:r>
          </w:p>
        </w:tc>
        <w:tc>
          <w:tcPr>
            <w:tcW w:w="1037" w:type="dxa"/>
            <w:vAlign w:val="center"/>
          </w:tcPr>
          <w:p w14:paraId="78F04AF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03743BE1">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090B3D07">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4E81074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2108E231">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县自然资源局</w:t>
            </w:r>
          </w:p>
        </w:tc>
      </w:tr>
      <w:tr w14:paraId="29DBBF3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9" w:hRule="atLeast"/>
          <w:jc w:val="center"/>
        </w:trPr>
        <w:tc>
          <w:tcPr>
            <w:tcW w:w="357" w:type="dxa"/>
            <w:vMerge w:val="continue"/>
            <w:tcBorders>
              <w:left w:val="single" w:color="auto" w:sz="4" w:space="0"/>
            </w:tcBorders>
            <w:vAlign w:val="center"/>
          </w:tcPr>
          <w:p w14:paraId="64E97002">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78A28751">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22.单位生产总值能耗降低（%）</w:t>
            </w:r>
          </w:p>
        </w:tc>
        <w:tc>
          <w:tcPr>
            <w:tcW w:w="1037" w:type="dxa"/>
            <w:vAlign w:val="center"/>
          </w:tcPr>
          <w:p w14:paraId="54C6A60B">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0D0A9584">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1D4040A1">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0F6E1B83">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19898D93">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县发展改革局</w:t>
            </w:r>
          </w:p>
        </w:tc>
      </w:tr>
      <w:tr w14:paraId="0366061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52" w:hRule="atLeast"/>
          <w:jc w:val="center"/>
        </w:trPr>
        <w:tc>
          <w:tcPr>
            <w:tcW w:w="357" w:type="dxa"/>
            <w:vMerge w:val="continue"/>
            <w:tcBorders>
              <w:left w:val="single" w:color="auto" w:sz="4" w:space="0"/>
            </w:tcBorders>
            <w:vAlign w:val="center"/>
          </w:tcPr>
          <w:p w14:paraId="7828DF66">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34905CDB">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23.单位生产总值二氧化碳排放量降低（%）</w:t>
            </w:r>
          </w:p>
        </w:tc>
        <w:tc>
          <w:tcPr>
            <w:tcW w:w="1037" w:type="dxa"/>
            <w:vAlign w:val="center"/>
          </w:tcPr>
          <w:p w14:paraId="1B9A6B5B">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64B27E2B">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0A20F3C8">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45A906BE">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1000C46D">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全州生态环境局</w:t>
            </w:r>
          </w:p>
        </w:tc>
      </w:tr>
      <w:tr w14:paraId="6179EA7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357" w:type="dxa"/>
            <w:vMerge w:val="continue"/>
            <w:tcBorders>
              <w:left w:val="single" w:color="auto" w:sz="4" w:space="0"/>
            </w:tcBorders>
            <w:vAlign w:val="center"/>
          </w:tcPr>
          <w:p w14:paraId="59B65487">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2802D52D">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24.非化石能源占一次能源消费比重（%）</w:t>
            </w:r>
          </w:p>
        </w:tc>
        <w:tc>
          <w:tcPr>
            <w:tcW w:w="1037" w:type="dxa"/>
            <w:vAlign w:val="center"/>
          </w:tcPr>
          <w:p w14:paraId="1E0C10AB">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288DED0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76A19655">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41C552E1">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2225EA65">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全州生态环境局</w:t>
            </w:r>
          </w:p>
        </w:tc>
      </w:tr>
      <w:tr w14:paraId="2C03853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357" w:type="dxa"/>
            <w:vMerge w:val="continue"/>
            <w:tcBorders>
              <w:left w:val="single" w:color="auto" w:sz="4" w:space="0"/>
            </w:tcBorders>
            <w:vAlign w:val="center"/>
          </w:tcPr>
          <w:p w14:paraId="79629FAF">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5EBF92F7">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25.万元生产总值</w:t>
            </w:r>
          </w:p>
          <w:p w14:paraId="3C33AB5D">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用水量(立方米/万元)</w:t>
            </w:r>
          </w:p>
        </w:tc>
        <w:tc>
          <w:tcPr>
            <w:tcW w:w="1037" w:type="dxa"/>
            <w:vAlign w:val="center"/>
          </w:tcPr>
          <w:p w14:paraId="7AF849C4">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5675D82B">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464CF130">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1DF744FD">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3D22706D">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县水利局</w:t>
            </w:r>
          </w:p>
        </w:tc>
      </w:tr>
      <w:tr w14:paraId="48F32BA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357" w:type="dxa"/>
            <w:vMerge w:val="continue"/>
            <w:tcBorders>
              <w:left w:val="single" w:color="auto" w:sz="4" w:space="0"/>
            </w:tcBorders>
            <w:vAlign w:val="center"/>
          </w:tcPr>
          <w:p w14:paraId="3A3AC973">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5711EDEA">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26.主要污染物排放量降低（%）</w:t>
            </w:r>
          </w:p>
        </w:tc>
        <w:tc>
          <w:tcPr>
            <w:tcW w:w="1037" w:type="dxa"/>
            <w:vAlign w:val="center"/>
          </w:tcPr>
          <w:p w14:paraId="0ABFB25E">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2F8277B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0F4BEB40">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21E4CDE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5B91B686">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全州生态环境局</w:t>
            </w:r>
          </w:p>
        </w:tc>
      </w:tr>
      <w:tr w14:paraId="2F92363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continue"/>
            <w:tcBorders>
              <w:left w:val="single" w:color="auto" w:sz="4" w:space="0"/>
            </w:tcBorders>
            <w:vAlign w:val="center"/>
          </w:tcPr>
          <w:p w14:paraId="086DF519">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65E5884B">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27.森林覆盖率（%）</w:t>
            </w:r>
          </w:p>
        </w:tc>
        <w:tc>
          <w:tcPr>
            <w:tcW w:w="1037" w:type="dxa"/>
            <w:vAlign w:val="center"/>
          </w:tcPr>
          <w:p w14:paraId="33CDF167">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68.15</w:t>
            </w:r>
          </w:p>
        </w:tc>
        <w:tc>
          <w:tcPr>
            <w:tcW w:w="1373" w:type="dxa"/>
            <w:vAlign w:val="center"/>
          </w:tcPr>
          <w:p w14:paraId="05C5690D">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68.1</w:t>
            </w:r>
          </w:p>
        </w:tc>
        <w:tc>
          <w:tcPr>
            <w:tcW w:w="1400" w:type="dxa"/>
            <w:vAlign w:val="center"/>
          </w:tcPr>
          <w:p w14:paraId="17A483C1">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保持</w:t>
            </w:r>
          </w:p>
        </w:tc>
        <w:tc>
          <w:tcPr>
            <w:tcW w:w="1067" w:type="dxa"/>
            <w:tcBorders>
              <w:right w:val="single" w:color="auto" w:sz="4" w:space="0"/>
            </w:tcBorders>
            <w:vAlign w:val="center"/>
          </w:tcPr>
          <w:p w14:paraId="26189245">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03CA24ED">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县林业局</w:t>
            </w:r>
          </w:p>
        </w:tc>
      </w:tr>
      <w:tr w14:paraId="610EA5A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7" w:hRule="atLeast"/>
          <w:jc w:val="center"/>
        </w:trPr>
        <w:tc>
          <w:tcPr>
            <w:tcW w:w="357" w:type="dxa"/>
            <w:vMerge w:val="continue"/>
            <w:tcBorders>
              <w:left w:val="single" w:color="auto" w:sz="4" w:space="0"/>
            </w:tcBorders>
            <w:vAlign w:val="center"/>
          </w:tcPr>
          <w:p w14:paraId="074DAE19">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64B37242">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28.森林蓄积量（万立方米）</w:t>
            </w:r>
          </w:p>
        </w:tc>
        <w:tc>
          <w:tcPr>
            <w:tcW w:w="1037" w:type="dxa"/>
            <w:vAlign w:val="center"/>
          </w:tcPr>
          <w:p w14:paraId="15070E6E">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7E699B1F">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7038460E">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00244003">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27CB19EE">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县林业局</w:t>
            </w:r>
          </w:p>
        </w:tc>
      </w:tr>
      <w:tr w14:paraId="5910F43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357" w:type="dxa"/>
            <w:vMerge w:val="continue"/>
            <w:tcBorders>
              <w:left w:val="single" w:color="auto" w:sz="4" w:space="0"/>
            </w:tcBorders>
            <w:vAlign w:val="center"/>
          </w:tcPr>
          <w:p w14:paraId="1BEC1240">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7F8B564A">
            <w:pPr>
              <w:overflowPunct w:val="0"/>
              <w:autoSpaceDE w:val="0"/>
              <w:autoSpaceDN w:val="0"/>
              <w:spacing w:line="300" w:lineRule="exact"/>
              <w:ind w:firstLine="188" w:firstLineChars="1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29.地表水质量：</w:t>
            </w:r>
          </w:p>
          <w:p w14:paraId="07577525">
            <w:pPr>
              <w:overflowPunct w:val="0"/>
              <w:autoSpaceDE w:val="0"/>
              <w:autoSpaceDN w:val="0"/>
              <w:spacing w:line="300" w:lineRule="exact"/>
              <w:ind w:firstLine="376" w:firstLineChars="2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达到或好于III类水体比例</w:t>
            </w:r>
          </w:p>
        </w:tc>
        <w:tc>
          <w:tcPr>
            <w:tcW w:w="1037" w:type="dxa"/>
            <w:vAlign w:val="center"/>
          </w:tcPr>
          <w:p w14:paraId="18781873">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325C789A">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0E641040">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17D1B56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68A6AD70">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全州生态环境局</w:t>
            </w:r>
          </w:p>
        </w:tc>
      </w:tr>
      <w:tr w14:paraId="7F3541A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90" w:hRule="atLeast"/>
          <w:jc w:val="center"/>
        </w:trPr>
        <w:tc>
          <w:tcPr>
            <w:tcW w:w="357" w:type="dxa"/>
            <w:vMerge w:val="continue"/>
            <w:tcBorders>
              <w:left w:val="single" w:color="auto" w:sz="4" w:space="0"/>
            </w:tcBorders>
            <w:vAlign w:val="center"/>
          </w:tcPr>
          <w:p w14:paraId="317D5834">
            <w:pPr>
              <w:overflowPunct w:val="0"/>
              <w:autoSpaceDE w:val="0"/>
              <w:autoSpaceDN w:val="0"/>
              <w:jc w:val="left"/>
              <w:rPr>
                <w:rFonts w:hint="default" w:ascii="Times New Roman" w:hAnsi="Times New Roman" w:eastAsia="仿宋_GB2312" w:cs="Times New Roman"/>
                <w:kern w:val="0"/>
                <w:sz w:val="20"/>
                <w:szCs w:val="20"/>
              </w:rPr>
            </w:pPr>
          </w:p>
        </w:tc>
        <w:tc>
          <w:tcPr>
            <w:tcW w:w="3057" w:type="dxa"/>
            <w:vAlign w:val="center"/>
          </w:tcPr>
          <w:p w14:paraId="6DBCA6CB">
            <w:pPr>
              <w:overflowPunct w:val="0"/>
              <w:autoSpaceDE w:val="0"/>
              <w:autoSpaceDN w:val="0"/>
              <w:spacing w:line="300" w:lineRule="exact"/>
              <w:ind w:firstLine="376" w:firstLineChars="200"/>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劣于V类水体比例</w:t>
            </w:r>
          </w:p>
        </w:tc>
        <w:tc>
          <w:tcPr>
            <w:tcW w:w="1037" w:type="dxa"/>
            <w:vAlign w:val="center"/>
          </w:tcPr>
          <w:p w14:paraId="3D2428E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w:t>
            </w:r>
          </w:p>
        </w:tc>
        <w:tc>
          <w:tcPr>
            <w:tcW w:w="1373" w:type="dxa"/>
            <w:vAlign w:val="center"/>
          </w:tcPr>
          <w:p w14:paraId="05E088A5">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市下达</w:t>
            </w:r>
          </w:p>
        </w:tc>
        <w:tc>
          <w:tcPr>
            <w:tcW w:w="1400" w:type="dxa"/>
            <w:vAlign w:val="center"/>
          </w:tcPr>
          <w:p w14:paraId="1509CDC6">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完成桂林市下达目标</w:t>
            </w:r>
          </w:p>
        </w:tc>
        <w:tc>
          <w:tcPr>
            <w:tcW w:w="1067" w:type="dxa"/>
            <w:tcBorders>
              <w:right w:val="single" w:color="auto" w:sz="4" w:space="0"/>
            </w:tcBorders>
            <w:vAlign w:val="center"/>
          </w:tcPr>
          <w:p w14:paraId="3061F979">
            <w:pPr>
              <w:overflowPunct w:val="0"/>
              <w:autoSpaceDE w:val="0"/>
              <w:autoSpaceDN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约束性</w:t>
            </w:r>
          </w:p>
        </w:tc>
        <w:tc>
          <w:tcPr>
            <w:tcW w:w="1359" w:type="dxa"/>
            <w:tcBorders>
              <w:right w:val="single" w:color="auto" w:sz="4" w:space="0"/>
            </w:tcBorders>
            <w:vAlign w:val="center"/>
          </w:tcPr>
          <w:p w14:paraId="7F135652">
            <w:pPr>
              <w:overflowPunct w:val="0"/>
              <w:autoSpaceDE w:val="0"/>
              <w:autoSpaceDN w:val="0"/>
              <w:spacing w:line="300" w:lineRule="exact"/>
              <w:jc w:val="center"/>
              <w:rPr>
                <w:rFonts w:hint="eastAsia" w:ascii="Times New Roman" w:hAnsi="Times New Roman" w:eastAsia="仿宋_GB2312" w:cs="Times New Roman"/>
                <w:kern w:val="0"/>
                <w:sz w:val="20"/>
                <w:szCs w:val="20"/>
                <w:lang w:eastAsia="zh-CN"/>
              </w:rPr>
            </w:pPr>
            <w:r>
              <w:rPr>
                <w:rFonts w:hint="eastAsia" w:ascii="Times New Roman" w:hAnsi="Times New Roman" w:eastAsia="仿宋_GB2312" w:cs="Times New Roman"/>
                <w:kern w:val="0"/>
                <w:sz w:val="20"/>
                <w:szCs w:val="20"/>
                <w:lang w:eastAsia="zh-CN"/>
              </w:rPr>
              <w:t>全州生态环境局</w:t>
            </w:r>
          </w:p>
        </w:tc>
      </w:tr>
      <w:tr w14:paraId="754582D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91" w:type="dxa"/>
            <w:gridSpan w:val="6"/>
            <w:tcBorders>
              <w:left w:val="single" w:color="auto" w:sz="4" w:space="0"/>
              <w:right w:val="single" w:color="auto" w:sz="4" w:space="0"/>
            </w:tcBorders>
            <w:vAlign w:val="center"/>
          </w:tcPr>
          <w:p w14:paraId="76AA9123">
            <w:pPr>
              <w:widowControl/>
              <w:jc w:val="left"/>
              <w:rPr>
                <w:rFonts w:hint="default" w:ascii="Times New Roman" w:hAnsi="Times New Roman" w:eastAsia="仿宋_GB2312" w:cs="Times New Roman"/>
                <w:color w:val="000000" w:themeColor="text1"/>
                <w:sz w:val="20"/>
                <w:szCs w:val="20"/>
              </w:rPr>
            </w:pPr>
            <w:r>
              <w:rPr>
                <w:rFonts w:hint="default" w:ascii="Times New Roman" w:hAnsi="Times New Roman" w:eastAsia="仿宋_GB2312" w:cs="Times New Roman"/>
                <w:color w:val="000000" w:themeColor="text1"/>
                <w:kern w:val="0"/>
                <w:sz w:val="20"/>
                <w:szCs w:val="20"/>
              </w:rPr>
              <w:t xml:space="preserve">注：1.地区生产总值、人均地区生产总值增速按不变价计算，人均地区生产总值按第七次全国人口普查数 </w:t>
            </w:r>
          </w:p>
          <w:p w14:paraId="63D0DB19">
            <w:pPr>
              <w:widowControl/>
              <w:jc w:val="left"/>
              <w:rPr>
                <w:rFonts w:hint="default" w:ascii="Times New Roman" w:hAnsi="Times New Roman" w:eastAsia="仿宋_GB2312" w:cs="Times New Roman"/>
                <w:color w:val="FF0000"/>
                <w:kern w:val="0"/>
                <w:sz w:val="20"/>
                <w:szCs w:val="20"/>
              </w:rPr>
            </w:pPr>
            <w:r>
              <w:rPr>
                <w:rFonts w:hint="default" w:ascii="Times New Roman" w:hAnsi="Times New Roman" w:eastAsia="仿宋_GB2312" w:cs="Times New Roman"/>
                <w:color w:val="000000" w:themeColor="text1"/>
                <w:kern w:val="0"/>
                <w:sz w:val="20"/>
                <w:szCs w:val="20"/>
              </w:rPr>
              <w:t>据计算，财政收入增速按可比口径计算。2.[ ]内为五年累计数。</w:t>
            </w:r>
          </w:p>
        </w:tc>
        <w:tc>
          <w:tcPr>
            <w:tcW w:w="1359" w:type="dxa"/>
            <w:tcBorders>
              <w:left w:val="single" w:color="auto" w:sz="4" w:space="0"/>
              <w:right w:val="single" w:color="auto" w:sz="4" w:space="0"/>
            </w:tcBorders>
          </w:tcPr>
          <w:p w14:paraId="7FB9393B">
            <w:pPr>
              <w:widowControl/>
              <w:jc w:val="left"/>
              <w:rPr>
                <w:rFonts w:hint="default" w:ascii="Times New Roman" w:hAnsi="Times New Roman" w:eastAsia="仿宋_GB2312" w:cs="Times New Roman"/>
                <w:color w:val="000000" w:themeColor="text1"/>
                <w:kern w:val="0"/>
                <w:sz w:val="20"/>
                <w:szCs w:val="20"/>
              </w:rPr>
            </w:pPr>
          </w:p>
        </w:tc>
      </w:tr>
    </w:tbl>
    <w:p w14:paraId="2D7510EA">
      <w:pPr>
        <w:keepNext w:val="0"/>
        <w:keepLines w:val="0"/>
        <w:pageBreakBefore w:val="0"/>
        <w:widowControl w:val="0"/>
        <w:kinsoku/>
        <w:wordWrap/>
        <w:overflowPunct w:val="0"/>
        <w:topLinePunct w:val="0"/>
        <w:autoSpaceDE w:val="0"/>
        <w:autoSpaceDN w:val="0"/>
        <w:bidi w:val="0"/>
        <w:adjustRightInd w:val="0"/>
        <w:snapToGrid w:val="0"/>
        <w:spacing w:line="480" w:lineRule="exact"/>
        <w:jc w:val="center"/>
        <w:textAlignment w:val="auto"/>
        <w:rPr>
          <w:rStyle w:val="20"/>
          <w:rFonts w:ascii="Times New Roman" w:hAnsi="Times New Roman" w:eastAsia="黑体" w:cs="宋体"/>
          <w:b/>
          <w:kern w:val="0"/>
          <w:szCs w:val="21"/>
        </w:rPr>
      </w:pPr>
      <w:bookmarkStart w:id="0" w:name="_Toc32658"/>
    </w:p>
    <w:p w14:paraId="224728B1">
      <w:pPr>
        <w:keepNext w:val="0"/>
        <w:keepLines w:val="0"/>
        <w:pageBreakBefore w:val="0"/>
        <w:widowControl w:val="0"/>
        <w:numPr>
          <w:ilvl w:val="0"/>
          <w:numId w:val="1"/>
        </w:numPr>
        <w:kinsoku/>
        <w:wordWrap/>
        <w:topLinePunct w:val="0"/>
        <w:bidi w:val="0"/>
        <w:spacing w:line="480" w:lineRule="exact"/>
        <w:ind w:left="-179" w:leftChars="0" w:firstLine="770" w:firstLineChars="0"/>
        <w:textAlignment w:val="auto"/>
        <w:rPr>
          <w:rFonts w:ascii="Times New Roman" w:hAnsi="Times New Roman"/>
        </w:rPr>
      </w:pPr>
      <w:bookmarkStart w:id="1" w:name="_Toc25267"/>
      <w:r>
        <w:rPr>
          <w:rStyle w:val="20"/>
          <w:rFonts w:hint="eastAsia" w:ascii="Times New Roman" w:hAnsi="Times New Roman" w:eastAsia="黑体" w:cs="宋体"/>
          <w:b w:val="0"/>
          <w:bCs/>
          <w:kern w:val="0"/>
          <w:sz w:val="32"/>
          <w:szCs w:val="32"/>
        </w:rPr>
        <w:t>合理优化空间布局  规范经济社会发展</w:t>
      </w:r>
      <w:bookmarkEnd w:id="0"/>
      <w:bookmarkEnd w:id="1"/>
    </w:p>
    <w:p w14:paraId="37327FF0">
      <w:pPr>
        <w:keepNext w:val="0"/>
        <w:keepLines w:val="0"/>
        <w:pageBreakBefore w:val="0"/>
        <w:widowControl w:val="0"/>
        <w:kinsoku/>
        <w:wordWrap/>
        <w:overflowPunct w:val="0"/>
        <w:topLinePunct w:val="0"/>
        <w:autoSpaceDE w:val="0"/>
        <w:autoSpaceDN w:val="0"/>
        <w:bidi w:val="0"/>
        <w:adjustRightInd w:val="0"/>
        <w:snapToGrid w:val="0"/>
        <w:spacing w:line="480" w:lineRule="exact"/>
        <w:jc w:val="center"/>
        <w:textAlignment w:val="auto"/>
        <w:rPr>
          <w:rStyle w:val="20"/>
          <w:rFonts w:ascii="Times New Roman" w:hAnsi="Times New Roman" w:eastAsia="宋体" w:cstheme="minorEastAsia"/>
          <w:b/>
          <w:kern w:val="0"/>
          <w:sz w:val="32"/>
          <w:szCs w:val="32"/>
        </w:rPr>
      </w:pPr>
    </w:p>
    <w:p w14:paraId="4C1C15F7">
      <w:pPr>
        <w:keepNext w:val="0"/>
        <w:keepLines w:val="0"/>
        <w:pageBreakBefore w:val="0"/>
        <w:widowControl w:val="0"/>
        <w:numPr>
          <w:ilvl w:val="0"/>
          <w:numId w:val="2"/>
        </w:numPr>
        <w:kinsoku/>
        <w:wordWrap/>
        <w:overflowPunct w:val="0"/>
        <w:topLinePunct w:val="0"/>
        <w:autoSpaceDE w:val="0"/>
        <w:autoSpaceDN w:val="0"/>
        <w:bidi w:val="0"/>
        <w:adjustRightInd w:val="0"/>
        <w:snapToGrid w:val="0"/>
        <w:spacing w:line="480" w:lineRule="exact"/>
        <w:jc w:val="center"/>
        <w:textAlignment w:val="auto"/>
        <w:outlineLvl w:val="1"/>
        <w:rPr>
          <w:rFonts w:hint="eastAsia" w:ascii="Times New Roman" w:hAnsi="Times New Roman" w:eastAsia="楷体_GB2312" w:cs="楷体_GB2312"/>
          <w:b w:val="0"/>
          <w:bCs/>
          <w:kern w:val="0"/>
          <w:sz w:val="32"/>
          <w:szCs w:val="32"/>
        </w:rPr>
      </w:pPr>
      <w:bookmarkStart w:id="2" w:name="_Toc17453"/>
      <w:r>
        <w:rPr>
          <w:rFonts w:hint="eastAsia" w:ascii="Times New Roman" w:hAnsi="Times New Roman" w:eastAsia="楷体_GB2312" w:cs="楷体_GB2312"/>
          <w:b w:val="0"/>
          <w:bCs/>
          <w:kern w:val="0"/>
          <w:sz w:val="32"/>
          <w:szCs w:val="32"/>
        </w:rPr>
        <w:t>优化产业空间格局</w:t>
      </w:r>
    </w:p>
    <w:p w14:paraId="63FEB27E">
      <w:pPr>
        <w:keepNext w:val="0"/>
        <w:keepLines w:val="0"/>
        <w:pageBreakBefore w:val="0"/>
        <w:widowControl w:val="0"/>
        <w:kinsoku/>
        <w:wordWrap/>
        <w:overflowPunct w:val="0"/>
        <w:topLinePunct w:val="0"/>
        <w:autoSpaceDE w:val="0"/>
        <w:autoSpaceDN w:val="0"/>
        <w:bidi w:val="0"/>
        <w:adjustRightInd w:val="0"/>
        <w:snapToGrid w:val="0"/>
        <w:spacing w:line="480" w:lineRule="exact"/>
        <w:jc w:val="center"/>
        <w:textAlignment w:val="auto"/>
        <w:rPr>
          <w:rStyle w:val="20"/>
          <w:rFonts w:hint="eastAsia" w:ascii="Times New Roman" w:hAnsi="Times New Roman" w:eastAsia="宋体" w:cstheme="minorEastAsia"/>
          <w:b/>
          <w:kern w:val="0"/>
          <w:sz w:val="32"/>
          <w:szCs w:val="32"/>
        </w:rPr>
      </w:pPr>
    </w:p>
    <w:bookmarkEnd w:id="2"/>
    <w:p w14:paraId="2F5927EC">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ascii="Times New Roman" w:hAnsi="Times New Roman" w:eastAsia="仿宋_GB2312"/>
          <w:b w:val="0"/>
          <w:bCs/>
          <w:color w:val="000000"/>
          <w:sz w:val="32"/>
          <w:szCs w:val="32"/>
        </w:rPr>
        <w:t>打造产城融合核心区。</w:t>
      </w:r>
      <w:r>
        <w:rPr>
          <w:rFonts w:ascii="Times New Roman" w:hAnsi="Times New Roman" w:eastAsia="仿宋_GB2312" w:cs="宋体"/>
          <w:kern w:val="0"/>
          <w:sz w:val="32"/>
          <w:szCs w:val="32"/>
        </w:rPr>
        <w:t>充分发挥县城的带动集聚作用，</w:t>
      </w:r>
      <w:r>
        <w:rPr>
          <w:rFonts w:hint="eastAsia" w:ascii="Times New Roman" w:hAnsi="Times New Roman" w:eastAsia="仿宋_GB2312" w:cs="宋体"/>
          <w:kern w:val="0"/>
          <w:sz w:val="32"/>
          <w:szCs w:val="32"/>
        </w:rPr>
        <w:t>继续</w:t>
      </w:r>
      <w:r>
        <w:rPr>
          <w:rFonts w:ascii="Times New Roman" w:hAnsi="Times New Roman" w:eastAsia="仿宋_GB2312" w:cs="宋体"/>
          <w:kern w:val="0"/>
          <w:sz w:val="32"/>
          <w:szCs w:val="32"/>
        </w:rPr>
        <w:t>深入实施城镇化示范乡</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镇</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建设，发展一批特色鲜明的小城镇，</w:t>
      </w:r>
      <w:r>
        <w:rPr>
          <w:rFonts w:hint="eastAsia" w:ascii="Times New Roman" w:hAnsi="Times New Roman" w:eastAsia="仿宋_GB2312" w:cs="宋体"/>
          <w:kern w:val="0"/>
          <w:sz w:val="32"/>
          <w:szCs w:val="32"/>
        </w:rPr>
        <w:t>努力提升</w:t>
      </w:r>
      <w:r>
        <w:rPr>
          <w:rFonts w:hint="eastAsia" w:ascii="Times New Roman" w:hAnsi="Times New Roman" w:eastAsia="仿宋_GB2312" w:cs="宋体"/>
          <w:kern w:val="0"/>
          <w:sz w:val="32"/>
          <w:szCs w:val="32"/>
          <w:lang w:eastAsia="zh-CN"/>
        </w:rPr>
        <w:t>绍水、石塘、黄沙河</w:t>
      </w:r>
      <w:r>
        <w:rPr>
          <w:rFonts w:ascii="Times New Roman" w:hAnsi="Times New Roman" w:eastAsia="仿宋_GB2312" w:cs="宋体"/>
          <w:kern w:val="0"/>
          <w:sz w:val="32"/>
          <w:szCs w:val="32"/>
        </w:rPr>
        <w:t>三大中心镇，</w:t>
      </w:r>
      <w:r>
        <w:rPr>
          <w:rFonts w:hint="eastAsia" w:ascii="Times New Roman" w:hAnsi="Times New Roman" w:eastAsia="仿宋_GB2312" w:cs="宋体"/>
          <w:kern w:val="0"/>
          <w:sz w:val="32"/>
          <w:szCs w:val="32"/>
        </w:rPr>
        <w:t>强化</w:t>
      </w:r>
      <w:r>
        <w:rPr>
          <w:rFonts w:ascii="Times New Roman" w:hAnsi="Times New Roman" w:eastAsia="仿宋_GB2312" w:cs="宋体"/>
          <w:kern w:val="0"/>
          <w:sz w:val="32"/>
          <w:szCs w:val="32"/>
        </w:rPr>
        <w:t>中心镇集聚辐射能力。加快县城有序拓展和品质提升，加快推进城北新区建设，加强县城和中心镇基础设施建设，提高县城和中心镇承载能力，促进优质资源尤其是优质教育资源向县城和中心镇集聚，加快县城与中心镇的道路交通提升和对接，促进产业协调互补，以县城为核心，以</w:t>
      </w:r>
      <w:r>
        <w:rPr>
          <w:rFonts w:hint="eastAsia" w:ascii="Times New Roman" w:hAnsi="Times New Roman" w:eastAsia="仿宋_GB2312" w:cs="宋体"/>
          <w:kern w:val="0"/>
          <w:sz w:val="32"/>
          <w:szCs w:val="32"/>
          <w:lang w:eastAsia="zh-CN"/>
        </w:rPr>
        <w:t>绍水、石塘、黄沙河</w:t>
      </w:r>
      <w:r>
        <w:rPr>
          <w:rFonts w:ascii="Times New Roman" w:hAnsi="Times New Roman" w:eastAsia="仿宋_GB2312" w:cs="宋体"/>
          <w:kern w:val="0"/>
          <w:sz w:val="32"/>
          <w:szCs w:val="32"/>
        </w:rPr>
        <w:t>为次中心</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加快</w:t>
      </w:r>
      <w:r>
        <w:rPr>
          <w:rFonts w:hint="eastAsia" w:ascii="Times New Roman" w:hAnsi="Times New Roman" w:eastAsia="仿宋_GB2312" w:cs="宋体"/>
          <w:kern w:val="0"/>
          <w:sz w:val="32"/>
          <w:szCs w:val="32"/>
        </w:rPr>
        <w:t>提升全州县“</w:t>
      </w:r>
      <w:r>
        <w:rPr>
          <w:rFonts w:ascii="Times New Roman" w:hAnsi="Times New Roman" w:eastAsia="仿宋_GB2312" w:cs="宋体"/>
          <w:kern w:val="0"/>
          <w:sz w:val="32"/>
          <w:szCs w:val="32"/>
        </w:rPr>
        <w:t>一心三区</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产城融合核心区。到202</w:t>
      </w:r>
      <w:r>
        <w:rPr>
          <w:rFonts w:hint="eastAsia" w:ascii="Times New Roman" w:hAnsi="Times New Roman" w:eastAsia="仿宋_GB2312" w:cs="宋体"/>
          <w:kern w:val="0"/>
          <w:sz w:val="32"/>
          <w:szCs w:val="32"/>
        </w:rPr>
        <w:t>5</w:t>
      </w:r>
      <w:r>
        <w:rPr>
          <w:rFonts w:ascii="Times New Roman" w:hAnsi="Times New Roman" w:eastAsia="仿宋_GB2312" w:cs="宋体"/>
          <w:kern w:val="0"/>
          <w:sz w:val="32"/>
          <w:szCs w:val="32"/>
        </w:rPr>
        <w:t>年，产城融合核心区人口和经济规模实现翻番，经济总量占全县比重超过</w:t>
      </w:r>
      <w:r>
        <w:rPr>
          <w:rFonts w:hint="eastAsia" w:ascii="Times New Roman" w:hAnsi="Times New Roman" w:eastAsia="仿宋_GB2312" w:cs="宋体"/>
          <w:kern w:val="0"/>
          <w:sz w:val="32"/>
          <w:szCs w:val="32"/>
        </w:rPr>
        <w:t>70</w:t>
      </w:r>
      <w:r>
        <w:rPr>
          <w:rFonts w:ascii="Times New Roman" w:hAnsi="Times New Roman" w:eastAsia="仿宋_GB2312" w:cs="宋体"/>
          <w:kern w:val="0"/>
          <w:sz w:val="32"/>
          <w:szCs w:val="32"/>
        </w:rPr>
        <w:t>%。</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县住房城乡建设局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县自然资源局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县城市管理监督局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县交通运输局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县工业和信息化局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县教育局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县城北新区管委会</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42667989">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发</w:t>
      </w:r>
      <w:r>
        <w:rPr>
          <w:rFonts w:ascii="Times New Roman" w:hAnsi="Times New Roman" w:eastAsia="仿宋_GB2312" w:cs="宋体"/>
          <w:kern w:val="0"/>
          <w:sz w:val="32"/>
          <w:szCs w:val="32"/>
        </w:rPr>
        <w:t>展现代农业生产区。全面发展</w:t>
      </w:r>
      <w:r>
        <w:rPr>
          <w:rFonts w:ascii="Times New Roman" w:hAnsi="Times New Roman" w:eastAsia="仿宋_GB2312"/>
          <w:sz w:val="32"/>
          <w:szCs w:val="32"/>
        </w:rPr>
        <w:t>以</w:t>
      </w:r>
      <w:r>
        <w:rPr>
          <w:rFonts w:hint="eastAsia" w:ascii="Times New Roman" w:hAnsi="Times New Roman" w:eastAsia="仿宋_GB2312"/>
          <w:sz w:val="32"/>
          <w:szCs w:val="32"/>
          <w:lang w:eastAsia="zh-CN"/>
        </w:rPr>
        <w:t>石塘</w:t>
      </w:r>
      <w:r>
        <w:rPr>
          <w:rFonts w:ascii="Times New Roman" w:hAnsi="Times New Roman" w:eastAsia="仿宋_GB2312"/>
          <w:sz w:val="32"/>
          <w:szCs w:val="32"/>
        </w:rPr>
        <w:t>镇、</w:t>
      </w:r>
      <w:r>
        <w:rPr>
          <w:rFonts w:hint="eastAsia" w:ascii="Times New Roman" w:hAnsi="Times New Roman" w:eastAsia="仿宋_GB2312"/>
          <w:sz w:val="32"/>
          <w:szCs w:val="32"/>
          <w:lang w:eastAsia="zh-CN"/>
        </w:rPr>
        <w:t>黄沙河</w:t>
      </w:r>
      <w:r>
        <w:rPr>
          <w:rFonts w:ascii="Times New Roman" w:hAnsi="Times New Roman" w:eastAsia="仿宋_GB2312"/>
          <w:sz w:val="32"/>
          <w:szCs w:val="32"/>
        </w:rPr>
        <w:t>镇、两河镇、枧塘镇、安和镇、咸水镇、凤凰镇、大西江镇、龙水镇、永岁</w:t>
      </w:r>
      <w:r>
        <w:rPr>
          <w:rFonts w:hint="eastAsia" w:ascii="Times New Roman" w:hAnsi="Times New Roman" w:eastAsia="仿宋_GB2312"/>
          <w:sz w:val="32"/>
          <w:szCs w:val="32"/>
          <w:lang w:eastAsia="zh-CN"/>
        </w:rPr>
        <w:t>镇</w:t>
      </w:r>
      <w:r>
        <w:rPr>
          <w:rFonts w:ascii="Times New Roman" w:hAnsi="Times New Roman" w:eastAsia="仿宋_GB2312"/>
          <w:sz w:val="32"/>
          <w:szCs w:val="32"/>
        </w:rPr>
        <w:t>、庙头镇、文桥镇等为主体的现代农业生产区。以农业结构调整优化升级为主导，发展水稻种植、优质果蔬、特色种植、生态养殖和特色休闲农业等产业。推进农业</w:t>
      </w:r>
      <w:r>
        <w:rPr>
          <w:rFonts w:hint="eastAsia" w:ascii="Times New Roman" w:hAnsi="Times New Roman" w:eastAsia="仿宋_GB2312"/>
          <w:sz w:val="32"/>
          <w:szCs w:val="32"/>
        </w:rPr>
        <w:t>“</w:t>
      </w:r>
      <w:r>
        <w:rPr>
          <w:rFonts w:ascii="Times New Roman" w:hAnsi="Times New Roman" w:eastAsia="仿宋_GB2312"/>
          <w:sz w:val="32"/>
          <w:szCs w:val="32"/>
        </w:rPr>
        <w:t>规模化、设施化、标准化、品牌化、循环化</w:t>
      </w:r>
      <w:r>
        <w:rPr>
          <w:rFonts w:hint="eastAsia" w:ascii="Times New Roman" w:hAnsi="Times New Roman" w:eastAsia="仿宋_GB2312"/>
          <w:sz w:val="32"/>
          <w:szCs w:val="32"/>
        </w:rPr>
        <w:t>”</w:t>
      </w:r>
      <w:r>
        <w:rPr>
          <w:rFonts w:ascii="Times New Roman" w:hAnsi="Times New Roman" w:eastAsia="仿宋_GB2312"/>
          <w:sz w:val="32"/>
          <w:szCs w:val="32"/>
        </w:rPr>
        <w:t>发展，建设一批优质安全农产品生产基地，打造高效农业经济区，进一步优化农业布局，扶持农业产业化龙头企业，推进养殖业规模化。</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231675FC">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ascii="Times New Roman" w:hAnsi="Times New Roman" w:eastAsia="仿宋_GB2312" w:cs="宋体"/>
          <w:kern w:val="0"/>
          <w:sz w:val="32"/>
          <w:szCs w:val="32"/>
        </w:rPr>
        <w:t>建设生态功能保护区。建设以蕉江瑶族乡、</w:t>
      </w:r>
      <w:r>
        <w:rPr>
          <w:rFonts w:hint="eastAsia" w:ascii="Times New Roman" w:hAnsi="Times New Roman" w:eastAsia="仿宋_GB2312" w:cs="宋体"/>
          <w:kern w:val="0"/>
          <w:sz w:val="32"/>
          <w:szCs w:val="32"/>
        </w:rPr>
        <w:t>安和镇、</w:t>
      </w:r>
      <w:r>
        <w:rPr>
          <w:rFonts w:ascii="Times New Roman" w:hAnsi="Times New Roman" w:eastAsia="仿宋_GB2312" w:cs="宋体"/>
          <w:kern w:val="0"/>
          <w:sz w:val="32"/>
          <w:szCs w:val="32"/>
        </w:rPr>
        <w:t>东山瑶族乡、两河镇、白宝乡、海洋</w:t>
      </w:r>
      <w:r>
        <w:rPr>
          <w:rFonts w:hint="eastAsia" w:ascii="Times New Roman" w:hAnsi="Times New Roman" w:eastAsia="仿宋_GB2312" w:cs="宋体"/>
          <w:kern w:val="0"/>
          <w:sz w:val="32"/>
          <w:szCs w:val="32"/>
        </w:rPr>
        <w:t>山</w:t>
      </w:r>
      <w:r>
        <w:rPr>
          <w:rFonts w:ascii="Times New Roman" w:hAnsi="Times New Roman" w:eastAsia="仿宋_GB2312" w:cs="宋体"/>
          <w:kern w:val="0"/>
          <w:sz w:val="32"/>
          <w:szCs w:val="32"/>
        </w:rPr>
        <w:t>自然保护</w:t>
      </w:r>
      <w:r>
        <w:rPr>
          <w:rFonts w:ascii="Times New Roman" w:hAnsi="Times New Roman" w:eastAsia="仿宋_GB2312"/>
          <w:sz w:val="32"/>
          <w:szCs w:val="32"/>
        </w:rPr>
        <w:t>区、五福宝顶自然保护区及饮用水源地为主体的生态功能保护区。坚持保护优先、适度开发、点状发展原则，实行严格的产业和环境准入制度，因地制宜适度发展资源环境可承载的林果种植、特色养殖、休闲观光、生态旅游、</w:t>
      </w:r>
      <w:r>
        <w:rPr>
          <w:rFonts w:hint="eastAsia" w:ascii="Times New Roman" w:hAnsi="Times New Roman" w:eastAsia="仿宋_GB2312"/>
          <w:sz w:val="32"/>
          <w:szCs w:val="32"/>
        </w:rPr>
        <w:t>“</w:t>
      </w:r>
      <w:r>
        <w:rPr>
          <w:rFonts w:ascii="Times New Roman" w:hAnsi="Times New Roman" w:eastAsia="仿宋_GB2312"/>
          <w:sz w:val="32"/>
          <w:szCs w:val="32"/>
        </w:rPr>
        <w:t>林下经济</w:t>
      </w:r>
      <w:r>
        <w:rPr>
          <w:rFonts w:hint="eastAsia" w:ascii="Times New Roman" w:hAnsi="Times New Roman" w:eastAsia="仿宋_GB2312"/>
          <w:sz w:val="32"/>
          <w:szCs w:val="32"/>
        </w:rPr>
        <w:t>”</w:t>
      </w:r>
      <w:r>
        <w:rPr>
          <w:rFonts w:ascii="Times New Roman" w:hAnsi="Times New Roman" w:eastAsia="仿宋_GB2312"/>
          <w:sz w:val="32"/>
          <w:szCs w:val="32"/>
        </w:rPr>
        <w:t>等产业；加强林地、草地、河流、湖泊、湿地等生态空间的保护和修复，引导超载人口逐步有序转</w:t>
      </w:r>
      <w:r>
        <w:rPr>
          <w:rFonts w:ascii="Times New Roman" w:hAnsi="Times New Roman" w:eastAsia="仿宋_GB2312" w:cs="宋体"/>
          <w:kern w:val="0"/>
          <w:sz w:val="32"/>
          <w:szCs w:val="32"/>
        </w:rPr>
        <w:t>移；划定生态保护红线，对自然保护区及饮用水源地实施强制性保护。</w:t>
      </w:r>
      <w:bookmarkStart w:id="3" w:name="_Toc7845"/>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县林业局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0EEDD918">
      <w:pPr>
        <w:overflowPunct w:val="0"/>
        <w:autoSpaceDE w:val="0"/>
        <w:autoSpaceDN w:val="0"/>
        <w:adjustRightInd w:val="0"/>
        <w:snapToGrid w:val="0"/>
        <w:spacing w:line="360" w:lineRule="auto"/>
        <w:jc w:val="center"/>
        <w:rPr>
          <w:rStyle w:val="20"/>
          <w:rFonts w:ascii="Times New Roman" w:hAnsi="Times New Roman" w:cstheme="minorEastAsia"/>
          <w:b/>
          <w:kern w:val="0"/>
          <w:sz w:val="32"/>
          <w:szCs w:val="32"/>
        </w:rPr>
      </w:pPr>
    </w:p>
    <w:p w14:paraId="4ECE29A7">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color w:val="000000"/>
          <w:sz w:val="32"/>
          <w:szCs w:val="32"/>
        </w:rPr>
      </w:pPr>
      <w:bookmarkStart w:id="4" w:name="_Toc27823"/>
      <w:r>
        <w:rPr>
          <w:rStyle w:val="20"/>
          <w:rFonts w:hint="eastAsia" w:ascii="Times New Roman" w:hAnsi="Times New Roman" w:eastAsia="楷体_GB2312" w:cs="楷体_GB2312"/>
          <w:b w:val="0"/>
          <w:bCs/>
          <w:kern w:val="0"/>
          <w:sz w:val="32"/>
          <w:szCs w:val="32"/>
        </w:rPr>
        <w:t xml:space="preserve">第二节  </w:t>
      </w:r>
      <w:bookmarkEnd w:id="3"/>
      <w:bookmarkStart w:id="5" w:name="_Toc27987"/>
      <w:r>
        <w:rPr>
          <w:rStyle w:val="20"/>
          <w:rFonts w:hint="eastAsia" w:ascii="Times New Roman" w:hAnsi="Times New Roman" w:eastAsia="楷体_GB2312" w:cs="楷体_GB2312"/>
          <w:b w:val="0"/>
          <w:bCs/>
          <w:kern w:val="0"/>
          <w:sz w:val="32"/>
          <w:szCs w:val="32"/>
        </w:rPr>
        <w:t>优化国土空间开发保护</w:t>
      </w:r>
      <w:bookmarkEnd w:id="4"/>
    </w:p>
    <w:p w14:paraId="3626B3E0">
      <w:pPr>
        <w:overflowPunct w:val="0"/>
        <w:autoSpaceDE w:val="0"/>
        <w:autoSpaceDN w:val="0"/>
        <w:adjustRightInd w:val="0"/>
        <w:snapToGrid w:val="0"/>
        <w:spacing w:line="360" w:lineRule="auto"/>
        <w:ind w:firstLine="396" w:firstLineChars="200"/>
        <w:rPr>
          <w:rFonts w:ascii="Times New Roman" w:hAnsi="Times New Roman" w:eastAsia="仿宋_GB2312"/>
          <w:color w:val="000000"/>
          <w:szCs w:val="21"/>
        </w:rPr>
      </w:pPr>
    </w:p>
    <w:p w14:paraId="54921157">
      <w:pPr>
        <w:pStyle w:val="16"/>
        <w:overflowPunct w:val="0"/>
        <w:autoSpaceDE w:val="0"/>
        <w:autoSpaceDN w:val="0"/>
        <w:adjustRightInd w:val="0"/>
        <w:snapToGrid w:val="0"/>
        <w:spacing w:after="0" w:line="360" w:lineRule="auto"/>
        <w:ind w:firstLine="614"/>
        <w:rPr>
          <w:rFonts w:hint="eastAsia" w:ascii="Times New Roman" w:hAnsi="Times New Roman" w:eastAsia="黑体" w:cs="黑体"/>
          <w:sz w:val="32"/>
          <w:szCs w:val="32"/>
        </w:rPr>
      </w:pPr>
      <w:r>
        <w:rPr>
          <w:rFonts w:hint="eastAsia" w:ascii="Times New Roman" w:hAnsi="Times New Roman" w:eastAsia="仿宋_GB2312" w:cs="宋体"/>
          <w:sz w:val="32"/>
          <w:szCs w:val="30"/>
        </w:rPr>
        <w:t>按照城乡一体化的总体思路，继续坚持以县城为中心，</w:t>
      </w:r>
      <w:r>
        <w:rPr>
          <w:rFonts w:hint="eastAsia" w:ascii="Times New Roman" w:hAnsi="Times New Roman" w:eastAsia="仿宋_GB2312" w:cs="仿宋_GB2312"/>
          <w:color w:val="000000"/>
          <w:sz w:val="32"/>
          <w:szCs w:val="32"/>
          <w:lang w:eastAsia="zh-CN"/>
        </w:rPr>
        <w:t>绍水、石塘、黄沙河</w:t>
      </w:r>
      <w:r>
        <w:rPr>
          <w:rFonts w:hint="eastAsia" w:ascii="Times New Roman" w:hAnsi="Times New Roman" w:eastAsia="仿宋_GB2312" w:cs="宋体"/>
          <w:sz w:val="32"/>
          <w:szCs w:val="30"/>
        </w:rPr>
        <w:t>为重点镇，其他乡镇为次中心，全面提速城乡建设。立足资源环境承载能力，科学编制国土空间规划，统筹产业发展、文旅融合、生态保护、新型城镇化建设等需求，形成以文化引领、彰显特色的湘桂合作示范区和可持续发展示范城市，形成城市化地区、农产品主产区、生态功能区三大空间格局。</w:t>
      </w:r>
      <w:r>
        <w:rPr>
          <w:rFonts w:hint="eastAsia" w:ascii="Times New Roman" w:hAnsi="Times New Roman" w:eastAsia="仿宋_GB2312" w:cs="仿宋_GB2312"/>
          <w:color w:val="000000"/>
          <w:sz w:val="32"/>
          <w:szCs w:val="32"/>
        </w:rPr>
        <w:t>重点打造</w:t>
      </w:r>
      <w:r>
        <w:rPr>
          <w:rFonts w:hint="eastAsia" w:ascii="Times New Roman" w:hAnsi="Times New Roman" w:eastAsia="仿宋_GB2312" w:cs="仿宋_GB2312"/>
          <w:color w:val="000000"/>
          <w:sz w:val="32"/>
          <w:szCs w:val="32"/>
          <w:lang w:eastAsia="zh-CN"/>
        </w:rPr>
        <w:t>绍水、石塘、黄沙河</w:t>
      </w:r>
      <w:r>
        <w:rPr>
          <w:rFonts w:hint="eastAsia" w:ascii="Times New Roman" w:hAnsi="Times New Roman" w:eastAsia="仿宋_GB2312" w:cs="仿宋_GB2312"/>
          <w:color w:val="000000"/>
          <w:sz w:val="32"/>
          <w:szCs w:val="32"/>
        </w:rPr>
        <w:t>三大中心镇，继续加强以“一心三区”为主体的全州县产城融合核心区，打造</w:t>
      </w:r>
      <w:r>
        <w:rPr>
          <w:rFonts w:hint="eastAsia" w:ascii="Times New Roman" w:hAnsi="Times New Roman" w:eastAsia="仿宋_GB2312" w:cs="Times New Roman"/>
          <w:color w:val="000000"/>
          <w:sz w:val="32"/>
          <w:szCs w:val="32"/>
        </w:rPr>
        <w:t>经济、文化教育中心，发展特色工业、特色农业</w:t>
      </w:r>
      <w:r>
        <w:rPr>
          <w:rFonts w:hint="eastAsia" w:ascii="Times New Roman" w:hAnsi="Times New Roman" w:eastAsia="仿宋_GB2312" w:cs="仿宋_GB2312"/>
          <w:color w:val="000000"/>
          <w:sz w:val="32"/>
          <w:szCs w:val="32"/>
        </w:rPr>
        <w:t>，提高经济和人口高集聚能力，保护好基本农田和生态空间。加快</w:t>
      </w:r>
      <w:r>
        <w:rPr>
          <w:rFonts w:hint="eastAsia" w:ascii="Times New Roman" w:hAnsi="Times New Roman" w:eastAsia="宋体" w:cs="Times New Roman"/>
          <w:color w:val="000000"/>
          <w:sz w:val="28"/>
          <w:szCs w:val="28"/>
        </w:rPr>
        <w:t>发</w:t>
      </w:r>
      <w:r>
        <w:rPr>
          <w:rFonts w:hint="eastAsia" w:ascii="Times New Roman" w:hAnsi="Times New Roman" w:eastAsia="仿宋_GB2312" w:cs="Times New Roman"/>
          <w:color w:val="000000"/>
          <w:sz w:val="32"/>
          <w:szCs w:val="32"/>
        </w:rPr>
        <w:t>展</w:t>
      </w:r>
      <w:r>
        <w:rPr>
          <w:rFonts w:hint="eastAsia" w:ascii="Times New Roman" w:hAnsi="Times New Roman" w:eastAsia="仿宋_GB2312" w:cs="Times New Roman"/>
          <w:sz w:val="32"/>
          <w:szCs w:val="32"/>
        </w:rPr>
        <w:t>以</w:t>
      </w:r>
      <w:r>
        <w:rPr>
          <w:rFonts w:hint="eastAsia" w:ascii="Times New Roman" w:hAnsi="Times New Roman" w:eastAsia="仿宋_GB2312" w:cs="Times New Roman"/>
          <w:sz w:val="32"/>
          <w:szCs w:val="32"/>
          <w:lang w:eastAsia="zh-CN"/>
        </w:rPr>
        <w:t>石塘</w:t>
      </w:r>
      <w:r>
        <w:rPr>
          <w:rFonts w:hint="eastAsia" w:ascii="Times New Roman" w:hAnsi="Times New Roman" w:eastAsia="仿宋_GB2312" w:cs="Times New Roman"/>
          <w:sz w:val="32"/>
          <w:szCs w:val="32"/>
        </w:rPr>
        <w:t>镇、</w:t>
      </w:r>
      <w:r>
        <w:rPr>
          <w:rFonts w:hint="eastAsia" w:ascii="Times New Roman" w:hAnsi="Times New Roman" w:eastAsia="仿宋_GB2312" w:cs="Times New Roman"/>
          <w:sz w:val="32"/>
          <w:szCs w:val="32"/>
          <w:lang w:eastAsia="zh-CN"/>
        </w:rPr>
        <w:t>黄沙河</w:t>
      </w:r>
      <w:r>
        <w:rPr>
          <w:rFonts w:hint="eastAsia" w:ascii="Times New Roman" w:hAnsi="Times New Roman" w:eastAsia="仿宋_GB2312" w:cs="Times New Roman"/>
          <w:sz w:val="32"/>
          <w:szCs w:val="32"/>
        </w:rPr>
        <w:t>镇、两河镇、枧塘镇、安和镇、咸水镇、凤凰镇、大西江镇、龙水镇、</w:t>
      </w:r>
      <w:r>
        <w:rPr>
          <w:rFonts w:hint="eastAsia" w:ascii="Times New Roman" w:hAnsi="Times New Roman" w:eastAsia="仿宋_GB2312" w:cs="Times New Roman"/>
          <w:sz w:val="32"/>
          <w:szCs w:val="32"/>
          <w:lang w:eastAsia="zh-CN"/>
        </w:rPr>
        <w:t>永岁镇</w:t>
      </w:r>
      <w:r>
        <w:rPr>
          <w:rFonts w:hint="eastAsia" w:ascii="Times New Roman" w:hAnsi="Times New Roman" w:eastAsia="仿宋_GB2312" w:cs="Times New Roman"/>
          <w:sz w:val="32"/>
          <w:szCs w:val="32"/>
        </w:rPr>
        <w:t>、庙头镇、文桥镇等为主体的现代农业生产区，大力发展水稻种植、优质果蔬、特色种植、生态养殖和特色休闲农业等产业，增强农业生产能力，确保粮食安全和优质农产品供给。加快推进以蕉江瑶族乡、东山瑶族乡、两河镇、白宝乡、海洋自然保护区、五福宝顶自然保护区及饮用水源地为主体的生态功能保护区建设，支持生态功能区人口逐步有序向城镇转移，保护生态环境、筑牢生态屏障，因地制宜适度发</w:t>
      </w:r>
      <w:r>
        <w:rPr>
          <w:rFonts w:hint="eastAsia" w:ascii="Times New Roman" w:hAnsi="Times New Roman" w:eastAsia="仿宋_GB2312" w:cs="宋体"/>
          <w:kern w:val="0"/>
          <w:sz w:val="32"/>
          <w:szCs w:val="32"/>
          <w:lang w:val="en-US" w:eastAsia="zh-CN" w:bidi="ar-SA"/>
        </w:rPr>
        <w:t>展林果种植、特色养殖、休闲观光、生态旅游、“林下经济”等产业。</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县自然资源局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县住房城乡建设局、县发展改革局、县城市管理监督局、县教育局、县文化广电体育和旅游局、县工业和信息化局、县农业农村局、县林业局、各乡（镇）人民政府〕</w:t>
      </w:r>
    </w:p>
    <w:p w14:paraId="1DEE984E">
      <w:pPr>
        <w:numPr>
          <w:ilvl w:val="0"/>
          <w:numId w:val="3"/>
        </w:numPr>
        <w:ind w:left="0" w:leftChars="0" w:firstLine="601" w:firstLineChars="195"/>
        <w:jc w:val="both"/>
        <w:rPr>
          <w:rFonts w:hint="eastAsia" w:ascii="Times New Roman" w:hAnsi="Times New Roman" w:eastAsia="仿宋_GB2312" w:cs="宋体"/>
          <w:b w:val="0"/>
          <w:bCs w:val="0"/>
          <w:kern w:val="0"/>
          <w:sz w:val="32"/>
          <w:szCs w:val="32"/>
          <w:lang w:val="en-US" w:eastAsia="zh-CN" w:bidi="ar-SA"/>
        </w:rPr>
      </w:pPr>
      <w:bookmarkStart w:id="6" w:name="_Toc14018"/>
      <w:r>
        <w:rPr>
          <w:rStyle w:val="20"/>
          <w:rFonts w:hint="eastAsia" w:ascii="Times New Roman" w:hAnsi="Times New Roman" w:eastAsia="黑体" w:cs="黑体"/>
          <w:b/>
          <w:kern w:val="0"/>
          <w:sz w:val="32"/>
          <w:szCs w:val="32"/>
        </w:rPr>
        <w:br w:type="page"/>
      </w:r>
      <w:r>
        <w:rPr>
          <w:rStyle w:val="20"/>
          <w:rFonts w:hint="eastAsia" w:ascii="Times New Roman" w:hAnsi="Times New Roman" w:eastAsia="黑体" w:cs="宋体"/>
          <w:b w:val="0"/>
          <w:bCs/>
          <w:kern w:val="0"/>
          <w:sz w:val="32"/>
          <w:szCs w:val="32"/>
        </w:rPr>
        <w:t>优先发展农业农村  实施乡村振兴战略</w:t>
      </w:r>
      <w:bookmarkEnd w:id="6"/>
    </w:p>
    <w:p w14:paraId="20C82006">
      <w:pPr>
        <w:rPr>
          <w:rFonts w:hint="eastAsia" w:ascii="Times New Roman" w:hAnsi="Times New Roman"/>
          <w:sz w:val="32"/>
          <w:szCs w:val="32"/>
          <w:lang w:val="en-US" w:eastAsia="zh-CN"/>
        </w:rPr>
      </w:pPr>
    </w:p>
    <w:p w14:paraId="293B60AE">
      <w:pPr>
        <w:numPr>
          <w:ilvl w:val="0"/>
          <w:numId w:val="4"/>
        </w:num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kern w:val="0"/>
          <w:sz w:val="32"/>
          <w:szCs w:val="32"/>
        </w:rPr>
      </w:pPr>
      <w:bookmarkStart w:id="7" w:name="_Toc8761"/>
      <w:bookmarkStart w:id="8" w:name="_Toc20078"/>
      <w:r>
        <w:rPr>
          <w:rStyle w:val="20"/>
          <w:rFonts w:hint="eastAsia" w:ascii="Times New Roman" w:hAnsi="Times New Roman" w:eastAsia="楷体_GB2312" w:cs="楷体_GB2312"/>
          <w:b w:val="0"/>
          <w:bCs/>
          <w:kern w:val="0"/>
          <w:sz w:val="32"/>
          <w:szCs w:val="32"/>
        </w:rPr>
        <w:t xml:space="preserve"> 全面</w:t>
      </w:r>
      <w:bookmarkEnd w:id="7"/>
      <w:r>
        <w:rPr>
          <w:rStyle w:val="20"/>
          <w:rFonts w:hint="eastAsia" w:ascii="Times New Roman" w:hAnsi="Times New Roman" w:eastAsia="楷体_GB2312" w:cs="楷体_GB2312"/>
          <w:b w:val="0"/>
          <w:bCs/>
          <w:kern w:val="0"/>
          <w:sz w:val="32"/>
          <w:szCs w:val="32"/>
          <w:lang w:eastAsia="zh-CN"/>
        </w:rPr>
        <w:t>巩固拓展脱贫攻坚成果</w:t>
      </w:r>
      <w:r>
        <w:rPr>
          <w:rStyle w:val="20"/>
          <w:rFonts w:hint="eastAsia" w:ascii="Times New Roman" w:hAnsi="Times New Roman" w:eastAsia="楷体_GB2312" w:cs="楷体_GB2312"/>
          <w:b w:val="0"/>
          <w:bCs/>
          <w:kern w:val="0"/>
          <w:sz w:val="32"/>
          <w:szCs w:val="32"/>
        </w:rPr>
        <w:t>同乡村振兴有效衔接</w:t>
      </w:r>
      <w:bookmarkEnd w:id="8"/>
    </w:p>
    <w:p w14:paraId="141DB721">
      <w:pPr>
        <w:rPr>
          <w:rFonts w:hint="eastAsia" w:ascii="Times New Roman" w:hAnsi="Times New Roman"/>
        </w:rPr>
      </w:pPr>
    </w:p>
    <w:p w14:paraId="3A163BBB">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0"/>
        </w:rPr>
        <w:t>弘扬伟大脱贫攻坚精神，加快推进乡村振兴，着力减少和防止部分脱贫不稳定户、边缘易致贫户以及因疫情原因收入锐减户返贫</w:t>
      </w:r>
      <w:r>
        <w:rPr>
          <w:rFonts w:hint="eastAsia" w:ascii="Times New Roman" w:hAnsi="Times New Roman" w:eastAsia="仿宋_GB2312" w:cs="宋体"/>
          <w:kern w:val="0"/>
          <w:sz w:val="32"/>
          <w:szCs w:val="32"/>
        </w:rPr>
        <w:t>，切实提高边</w:t>
      </w:r>
      <w:r>
        <w:rPr>
          <w:rFonts w:hint="eastAsia" w:ascii="Times New Roman" w:hAnsi="Times New Roman" w:eastAsia="仿宋_GB2312" w:cs="宋体"/>
          <w:kern w:val="0"/>
          <w:sz w:val="32"/>
          <w:szCs w:val="32"/>
          <w:lang w:eastAsia="zh-CN"/>
        </w:rPr>
        <w:t>缘</w:t>
      </w:r>
      <w:r>
        <w:rPr>
          <w:rFonts w:hint="eastAsia" w:ascii="Times New Roman" w:hAnsi="Times New Roman" w:eastAsia="仿宋_GB2312" w:cs="宋体"/>
          <w:kern w:val="0"/>
          <w:sz w:val="32"/>
          <w:szCs w:val="32"/>
        </w:rPr>
        <w:t>易贫群体的收入水平。</w:t>
      </w:r>
    </w:p>
    <w:p w14:paraId="2EF19DEE">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建立精准防贫机制。加强对脱贫不稳定户、边缘易致贫户以及因疫返贫群众的监测，对存在返贫致贫风险的重点群体纳入防贫保障范围，分类制定精准防贫办法，采取多层次、复合式保障性防贫举措，重点解决贫困增量和返贫问题，健全农村低收入人口常态化帮扶机制，有效防止形成新的贫困人口。</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县乡村振兴局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rPr>
        <w:t>各</w:t>
      </w:r>
      <w:r>
        <w:rPr>
          <w:rFonts w:hint="eastAsia" w:ascii="Times New Roman" w:hAnsi="Times New Roman" w:eastAsia="仿宋_GB2312" w:cs="宋体"/>
          <w:kern w:val="0"/>
          <w:sz w:val="32"/>
          <w:szCs w:val="32"/>
          <w:lang w:eastAsia="zh-CN"/>
        </w:rPr>
        <w:t>相关</w:t>
      </w:r>
      <w:r>
        <w:rPr>
          <w:rFonts w:hint="eastAsia" w:ascii="Times New Roman" w:hAnsi="Times New Roman" w:eastAsia="仿宋_GB2312" w:cs="宋体"/>
          <w:kern w:val="0"/>
          <w:sz w:val="32"/>
          <w:szCs w:val="32"/>
        </w:rPr>
        <w:t>部门、</w:t>
      </w:r>
      <w:r>
        <w:rPr>
          <w:rFonts w:hint="eastAsia" w:ascii="Times New Roman" w:hAnsi="Times New Roman" w:eastAsia="仿宋_GB2312" w:cs="宋体"/>
          <w:kern w:val="0"/>
          <w:sz w:val="32"/>
          <w:szCs w:val="32"/>
          <w:lang w:eastAsia="zh-CN"/>
        </w:rPr>
        <w:t>各乡（镇）人民政府〕</w:t>
      </w:r>
    </w:p>
    <w:p w14:paraId="53E4C971">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筑牢产业发展基础。继续支持脱贫地区特色产业发展，强化易地搬迁后续扶持。依托金槐、禾花鱼、东山猪、文桥鸭、</w:t>
      </w:r>
      <w:r>
        <w:rPr>
          <w:rFonts w:hint="eastAsia" w:ascii="Times New Roman" w:hAnsi="Times New Roman" w:eastAsia="仿宋_GB2312" w:cs="宋体"/>
          <w:kern w:val="0"/>
          <w:sz w:val="32"/>
          <w:szCs w:val="32"/>
          <w:lang w:eastAsia="zh-CN"/>
        </w:rPr>
        <w:t>石塘</w:t>
      </w:r>
      <w:r>
        <w:rPr>
          <w:rFonts w:hint="eastAsia" w:ascii="Times New Roman" w:hAnsi="Times New Roman" w:eastAsia="仿宋_GB2312" w:cs="宋体"/>
          <w:kern w:val="0"/>
          <w:sz w:val="32"/>
          <w:szCs w:val="32"/>
        </w:rPr>
        <w:t>生姜等全国名特优农产品</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以及红军长征村、古村落</w:t>
      </w:r>
      <w:r>
        <w:rPr>
          <w:rFonts w:hint="eastAsia" w:ascii="Times New Roman" w:hAnsi="Times New Roman" w:eastAsia="仿宋_GB2312" w:cs="宋体"/>
          <w:kern w:val="0"/>
          <w:sz w:val="32"/>
          <w:szCs w:val="32"/>
          <w:lang w:eastAsia="zh-CN"/>
        </w:rPr>
        <w:t>文化</w:t>
      </w:r>
      <w:r>
        <w:rPr>
          <w:rFonts w:hint="eastAsia" w:ascii="Times New Roman" w:hAnsi="Times New Roman" w:eastAsia="仿宋_GB2312" w:cs="宋体"/>
          <w:kern w:val="0"/>
          <w:sz w:val="32"/>
          <w:szCs w:val="32"/>
        </w:rPr>
        <w:t>，注重农村传统特色农业和非农业的融合发展，注重推动村集体经济发展模式，建设农村特色种养、乡村旅游、手工作坊、商贸物流等产业发展区，逐步培育和形成具有特色的乡村产业。因地制宜培育富民产业，提升产业发展质量，延伸产业链条，优化产业格局，特别对特种养殖户转型加强支持</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让产业真正成为强农富民的强大动能。</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县乡村振兴局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rPr>
        <w:t>各部门、</w:t>
      </w:r>
      <w:r>
        <w:rPr>
          <w:rFonts w:hint="eastAsia" w:ascii="Times New Roman" w:hAnsi="Times New Roman" w:eastAsia="仿宋_GB2312" w:cs="宋体"/>
          <w:kern w:val="0"/>
          <w:sz w:val="32"/>
          <w:szCs w:val="32"/>
          <w:lang w:eastAsia="zh-CN"/>
        </w:rPr>
        <w:t>各乡（镇）人民政府〕</w:t>
      </w:r>
    </w:p>
    <w:p w14:paraId="55FB0702">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保持惠农政策的连贯性。</w:t>
      </w:r>
      <w:r>
        <w:rPr>
          <w:rFonts w:hint="eastAsia" w:ascii="Times New Roman" w:hAnsi="Times New Roman" w:eastAsia="仿宋_GB2312" w:cs="宋体"/>
          <w:kern w:val="0"/>
          <w:sz w:val="32"/>
          <w:szCs w:val="32"/>
          <w:lang w:eastAsia="zh-CN"/>
        </w:rPr>
        <w:t>继续加强</w:t>
      </w:r>
      <w:r>
        <w:rPr>
          <w:rFonts w:hint="eastAsia" w:ascii="Times New Roman" w:hAnsi="Times New Roman" w:eastAsia="仿宋_GB2312" w:cs="宋体"/>
          <w:kern w:val="0"/>
          <w:sz w:val="32"/>
          <w:szCs w:val="32"/>
        </w:rPr>
        <w:t>农村交通、水利等基础设施建设，乡村环境治理，风貌</w:t>
      </w:r>
      <w:r>
        <w:rPr>
          <w:rFonts w:hint="eastAsia" w:ascii="Times New Roman" w:hAnsi="Times New Roman" w:eastAsia="仿宋_GB2312" w:cs="宋体"/>
          <w:kern w:val="0"/>
          <w:sz w:val="32"/>
          <w:szCs w:val="32"/>
          <w:lang w:eastAsia="zh-CN"/>
        </w:rPr>
        <w:t>改造</w:t>
      </w:r>
      <w:r>
        <w:rPr>
          <w:rFonts w:hint="eastAsia" w:ascii="Times New Roman" w:hAnsi="Times New Roman" w:eastAsia="仿宋_GB2312" w:cs="宋体"/>
          <w:kern w:val="0"/>
          <w:sz w:val="32"/>
          <w:szCs w:val="32"/>
        </w:rPr>
        <w:t>，土地流转政策以及产业发展规划等，一张蓝图绘到底。通过制定对农村建设</w:t>
      </w:r>
      <w:r>
        <w:rPr>
          <w:rFonts w:hint="eastAsia" w:ascii="Times New Roman" w:hAnsi="Times New Roman" w:eastAsia="仿宋_GB2312" w:cs="宋体"/>
          <w:kern w:val="0"/>
          <w:sz w:val="32"/>
          <w:szCs w:val="32"/>
          <w:lang w:eastAsia="zh-CN"/>
        </w:rPr>
        <w:t>使用</w:t>
      </w:r>
      <w:r>
        <w:rPr>
          <w:rFonts w:hint="eastAsia" w:ascii="Times New Roman" w:hAnsi="Times New Roman" w:eastAsia="仿宋_GB2312" w:cs="宋体"/>
          <w:kern w:val="0"/>
          <w:sz w:val="32"/>
          <w:szCs w:val="32"/>
        </w:rPr>
        <w:t>专项资金进行专项补助</w:t>
      </w:r>
      <w:r>
        <w:rPr>
          <w:rFonts w:hint="eastAsia" w:ascii="Times New Roman" w:hAnsi="Times New Roman" w:eastAsia="仿宋_GB2312" w:cs="宋体"/>
          <w:kern w:val="0"/>
          <w:sz w:val="32"/>
          <w:szCs w:val="32"/>
          <w:lang w:eastAsia="zh-CN"/>
        </w:rPr>
        <w:t>，及</w:t>
      </w:r>
      <w:r>
        <w:rPr>
          <w:rFonts w:hint="eastAsia" w:ascii="Times New Roman" w:hAnsi="Times New Roman" w:eastAsia="仿宋_GB2312" w:cs="宋体"/>
          <w:kern w:val="0"/>
          <w:sz w:val="32"/>
          <w:szCs w:val="32"/>
        </w:rPr>
        <w:t>通过建设用地增减挂钩过程中的土地增值部分资金进行村庄环境整治</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采取以奖代补、先建后补等方式提高资金的使用效率。</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县乡村振兴局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rPr>
        <w:t>各部门、</w:t>
      </w:r>
      <w:r>
        <w:rPr>
          <w:rFonts w:hint="eastAsia" w:ascii="Times New Roman" w:hAnsi="Times New Roman" w:eastAsia="仿宋_GB2312" w:cs="宋体"/>
          <w:kern w:val="0"/>
          <w:sz w:val="32"/>
          <w:szCs w:val="32"/>
          <w:lang w:eastAsia="zh-CN"/>
        </w:rPr>
        <w:t>各乡（镇）人民政府〕</w:t>
      </w:r>
    </w:p>
    <w:p w14:paraId="74464686">
      <w:pPr>
        <w:overflowPunct w:val="0"/>
        <w:autoSpaceDE w:val="0"/>
        <w:autoSpaceDN w:val="0"/>
        <w:adjustRightInd w:val="0"/>
        <w:snapToGrid w:val="0"/>
        <w:spacing w:line="360" w:lineRule="auto"/>
        <w:ind w:firstLine="616" w:firstLineChars="200"/>
        <w:rPr>
          <w:rFonts w:hint="eastAsia" w:ascii="Times New Roman" w:hAnsi="Times New Roman" w:eastAsia="仿宋_GB2312" w:cs="仿宋_GB2312"/>
          <w:kern w:val="0"/>
          <w:sz w:val="32"/>
          <w:szCs w:val="32"/>
          <w:lang w:eastAsia="zh-CN"/>
        </w:rPr>
      </w:pPr>
      <w:r>
        <w:rPr>
          <w:rFonts w:hint="eastAsia" w:ascii="Times New Roman" w:hAnsi="Times New Roman" w:eastAsia="仿宋_GB2312" w:cs="宋体"/>
          <w:kern w:val="0"/>
          <w:sz w:val="32"/>
          <w:szCs w:val="32"/>
        </w:rPr>
        <w:t>稳定帮扶关系的延续性。紧扣</w:t>
      </w:r>
      <w:r>
        <w:rPr>
          <w:rFonts w:hint="eastAsia" w:ascii="Times New Roman" w:hAnsi="Times New Roman" w:eastAsia="仿宋_GB2312" w:cs="宋体"/>
          <w:kern w:val="0"/>
          <w:sz w:val="32"/>
          <w:szCs w:val="32"/>
          <w:lang w:eastAsia="zh-CN"/>
        </w:rPr>
        <w:t>巩固拓展脱贫攻坚成果</w:t>
      </w:r>
      <w:r>
        <w:rPr>
          <w:rFonts w:hint="eastAsia" w:ascii="Times New Roman" w:hAnsi="Times New Roman" w:eastAsia="仿宋_GB2312" w:cs="宋体"/>
          <w:kern w:val="0"/>
          <w:sz w:val="32"/>
          <w:szCs w:val="32"/>
        </w:rPr>
        <w:t>的总要求，由扶贫向防贫转变，不断创新后续</w:t>
      </w:r>
      <w:r>
        <w:rPr>
          <w:rFonts w:hint="eastAsia" w:ascii="Times New Roman" w:hAnsi="Times New Roman" w:eastAsia="仿宋_GB2312" w:cs="宋体"/>
          <w:kern w:val="0"/>
          <w:sz w:val="32"/>
          <w:szCs w:val="32"/>
          <w:lang w:val="en-US" w:eastAsia="zh-CN"/>
        </w:rPr>
        <w:t>脱</w:t>
      </w:r>
      <w:r>
        <w:rPr>
          <w:rFonts w:hint="eastAsia" w:ascii="Times New Roman" w:hAnsi="Times New Roman" w:eastAsia="仿宋_GB2312" w:cs="宋体"/>
          <w:kern w:val="0"/>
          <w:sz w:val="32"/>
          <w:szCs w:val="32"/>
        </w:rPr>
        <w:t>贫攻坚巩固模式，完善驻村帮扶、社会帮扶、企业帮扶的模式，做好易地扶贫搬迁后续工作，积极参与东西部协作和对口支援单位的衔接工作，积极引入社会力量</w:t>
      </w:r>
      <w:r>
        <w:rPr>
          <w:rFonts w:hint="eastAsia" w:ascii="Times New Roman" w:hAnsi="Times New Roman" w:eastAsia="仿宋_GB2312" w:cs="宋体"/>
          <w:kern w:val="0"/>
          <w:sz w:val="32"/>
          <w:szCs w:val="32"/>
          <w:lang w:eastAsia="zh-CN"/>
        </w:rPr>
        <w:t>，建立</w:t>
      </w:r>
      <w:r>
        <w:rPr>
          <w:rFonts w:hint="eastAsia" w:ascii="Times New Roman" w:hAnsi="Times New Roman" w:eastAsia="仿宋_GB2312" w:cs="宋体"/>
          <w:kern w:val="0"/>
          <w:sz w:val="32"/>
          <w:szCs w:val="32"/>
        </w:rPr>
        <w:t>社会力量参与帮扶等机制，逐步构建精准巩固脱贫工作长效机制。建立农村低收入人口和欠发达地区帮扶机制，保持财政投入力度总体稳定，</w:t>
      </w:r>
      <w:r>
        <w:rPr>
          <w:rFonts w:hint="eastAsia" w:ascii="Times New Roman" w:hAnsi="Times New Roman" w:eastAsia="仿宋_GB2312" w:cs="宋体"/>
          <w:kern w:val="0"/>
          <w:sz w:val="32"/>
          <w:szCs w:val="32"/>
          <w:lang w:eastAsia="zh-CN"/>
        </w:rPr>
        <w:t>持</w:t>
      </w:r>
      <w:r>
        <w:rPr>
          <w:rFonts w:hint="eastAsia" w:ascii="Times New Roman" w:hAnsi="Times New Roman" w:eastAsia="仿宋_GB2312" w:cs="宋体"/>
          <w:kern w:val="0"/>
          <w:sz w:val="32"/>
          <w:szCs w:val="32"/>
        </w:rPr>
        <w:t>续推进脱贫乡村发展。</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县乡村振兴局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rPr>
        <w:t>各部门、</w:t>
      </w:r>
      <w:r>
        <w:rPr>
          <w:rFonts w:hint="eastAsia" w:ascii="Times New Roman" w:hAnsi="Times New Roman" w:eastAsia="仿宋_GB2312" w:cs="宋体"/>
          <w:kern w:val="0"/>
          <w:sz w:val="32"/>
          <w:szCs w:val="32"/>
          <w:lang w:eastAsia="zh-CN"/>
        </w:rPr>
        <w:t>各乡（镇）人民政府〕</w:t>
      </w:r>
    </w:p>
    <w:p w14:paraId="10137074">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有效衔接实施乡村振兴战略。健全防止返贫监测和帮扶机制，做好易地扶贫搬迁后续帮扶工作，加强扶贫项目资金资产管理和监督，</w:t>
      </w:r>
      <w:r>
        <w:rPr>
          <w:rFonts w:hint="eastAsia" w:ascii="Times New Roman" w:hAnsi="Times New Roman" w:eastAsia="仿宋_GB2312" w:cs="宋体"/>
          <w:kern w:val="0"/>
          <w:sz w:val="32"/>
          <w:szCs w:val="32"/>
          <w:lang w:eastAsia="zh-CN"/>
        </w:rPr>
        <w:t>完善</w:t>
      </w:r>
      <w:r>
        <w:rPr>
          <w:rFonts w:hint="eastAsia" w:ascii="Times New Roman" w:hAnsi="Times New Roman" w:eastAsia="仿宋_GB2312" w:cs="宋体"/>
          <w:kern w:val="0"/>
          <w:sz w:val="32"/>
          <w:szCs w:val="32"/>
        </w:rPr>
        <w:t>农村社会保障和救助制度</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推动特色产业可持续发展，增强巩固脱贫成果及内生发展能力。深入推进田园综合体建设和全域土地综合整治，着力构建特色产业体系，生态环保体系、桂北特色乡村风貌体系、宜居宜业的人居环境体系、人文传承的道德体系、管理科学的乡村治理体系、债权清晰的权利联结体系、持续发展的机制创新体系，探索现代农业、乡村振兴路径。争取成为乡村振兴重点帮扶县。</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县乡村振兴局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rPr>
        <w:t>各部门、</w:t>
      </w:r>
      <w:r>
        <w:rPr>
          <w:rFonts w:hint="eastAsia" w:ascii="Times New Roman" w:hAnsi="Times New Roman" w:eastAsia="仿宋_GB2312" w:cs="宋体"/>
          <w:kern w:val="0"/>
          <w:sz w:val="32"/>
          <w:szCs w:val="32"/>
          <w:lang w:eastAsia="zh-CN"/>
        </w:rPr>
        <w:t>各乡（镇）人民政府〕</w:t>
      </w:r>
    </w:p>
    <w:p w14:paraId="1E82D908">
      <w:pPr>
        <w:overflowPunct w:val="0"/>
        <w:autoSpaceDE w:val="0"/>
        <w:autoSpaceDN w:val="0"/>
        <w:adjustRightInd w:val="0"/>
        <w:snapToGrid w:val="0"/>
        <w:spacing w:line="360" w:lineRule="auto"/>
        <w:jc w:val="both"/>
        <w:outlineLvl w:val="1"/>
        <w:rPr>
          <w:rFonts w:ascii="Times New Roman" w:hAnsi="Times New Roman" w:eastAsia="宋体" w:cs="宋体"/>
          <w:b/>
          <w:kern w:val="0"/>
          <w:sz w:val="32"/>
          <w:szCs w:val="32"/>
        </w:rPr>
      </w:pPr>
      <w:bookmarkStart w:id="9" w:name="_Toc26477"/>
    </w:p>
    <w:p w14:paraId="551E9E85">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kern w:val="0"/>
          <w:sz w:val="32"/>
          <w:szCs w:val="32"/>
        </w:rPr>
      </w:pPr>
      <w:r>
        <w:rPr>
          <w:rFonts w:hint="eastAsia" w:ascii="Times New Roman" w:hAnsi="Times New Roman" w:eastAsia="楷体_GB2312" w:cs="楷体_GB2312"/>
          <w:b w:val="0"/>
          <w:bCs/>
          <w:kern w:val="0"/>
          <w:sz w:val="32"/>
          <w:szCs w:val="32"/>
        </w:rPr>
        <w:t>第二节  扎实推进乡村建设行动</w:t>
      </w:r>
      <w:bookmarkEnd w:id="9"/>
    </w:p>
    <w:p w14:paraId="234F114C">
      <w:pPr>
        <w:overflowPunct w:val="0"/>
        <w:autoSpaceDE w:val="0"/>
        <w:autoSpaceDN w:val="0"/>
        <w:adjustRightInd w:val="0"/>
        <w:snapToGrid w:val="0"/>
        <w:spacing w:line="360" w:lineRule="auto"/>
        <w:ind w:firstLine="396" w:firstLineChars="200"/>
        <w:rPr>
          <w:rFonts w:ascii="Times New Roman" w:hAnsi="Times New Roman" w:eastAsia="仿宋_GB2312"/>
          <w:color w:val="000000"/>
          <w:szCs w:val="21"/>
        </w:rPr>
      </w:pPr>
    </w:p>
    <w:p w14:paraId="2C15EAF9">
      <w:pPr>
        <w:pStyle w:val="16"/>
        <w:overflowPunct w:val="0"/>
        <w:autoSpaceDE w:val="0"/>
        <w:autoSpaceDN w:val="0"/>
        <w:adjustRightInd w:val="0"/>
        <w:snapToGrid w:val="0"/>
        <w:spacing w:after="0" w:line="360" w:lineRule="auto"/>
        <w:ind w:firstLine="614"/>
        <w:rPr>
          <w:rFonts w:ascii="Times New Roman" w:hAnsi="Times New Roman" w:eastAsia="仿宋_GB2312"/>
          <w:sz w:val="32"/>
          <w:szCs w:val="32"/>
        </w:rPr>
      </w:pPr>
      <w:r>
        <w:rPr>
          <w:rFonts w:ascii="Times New Roman" w:hAnsi="Times New Roman" w:eastAsia="仿宋_GB2312"/>
          <w:sz w:val="32"/>
          <w:szCs w:val="32"/>
        </w:rPr>
        <w:t>坚持以人民为中心，遵循乡村发展规律，以</w:t>
      </w:r>
      <w:r>
        <w:rPr>
          <w:rFonts w:hint="eastAsia" w:ascii="Times New Roman" w:hAnsi="Times New Roman" w:eastAsia="仿宋_GB2312"/>
          <w:sz w:val="32"/>
          <w:szCs w:val="32"/>
        </w:rPr>
        <w:t>乡村风貌提升和农村人居环境改善</w:t>
      </w:r>
      <w:r>
        <w:rPr>
          <w:rFonts w:ascii="Times New Roman" w:hAnsi="Times New Roman" w:eastAsia="仿宋_GB2312"/>
          <w:sz w:val="32"/>
          <w:szCs w:val="32"/>
        </w:rPr>
        <w:t>为抓手，全面提升农村地区生态环境建设水平、基础设施建设水平、公共服务水平、社会治理水平，创建良好的农村人居环境，满足人民群众日益增长的美好生活环境需要。</w:t>
      </w:r>
    </w:p>
    <w:p w14:paraId="5890ABC8">
      <w:pPr>
        <w:pStyle w:val="16"/>
        <w:overflowPunct w:val="0"/>
        <w:autoSpaceDE w:val="0"/>
        <w:autoSpaceDN w:val="0"/>
        <w:adjustRightInd w:val="0"/>
        <w:snapToGrid w:val="0"/>
        <w:spacing w:after="0" w:line="360" w:lineRule="auto"/>
        <w:ind w:firstLine="614"/>
        <w:rPr>
          <w:rFonts w:ascii="Times New Roman" w:hAnsi="Times New Roman" w:eastAsia="仿宋_GB2312"/>
          <w:color w:val="000000" w:themeColor="text1"/>
          <w:sz w:val="32"/>
          <w:szCs w:val="32"/>
        </w:rPr>
      </w:pPr>
      <w:r>
        <w:rPr>
          <w:rFonts w:ascii="Times New Roman" w:hAnsi="Times New Roman" w:eastAsia="仿宋_GB2312"/>
          <w:sz w:val="32"/>
          <w:szCs w:val="32"/>
        </w:rPr>
        <w:t>全面推进田园综合体建设，探索现代农业、乡村旅游、田园社区融合的乡</w:t>
      </w:r>
      <w:r>
        <w:rPr>
          <w:rFonts w:hint="eastAsia" w:ascii="Times New Roman" w:hAnsi="Times New Roman" w:eastAsia="仿宋_GB2312"/>
          <w:sz w:val="32"/>
          <w:szCs w:val="32"/>
        </w:rPr>
        <w:t>村</w:t>
      </w:r>
      <w:r>
        <w:rPr>
          <w:rFonts w:ascii="Times New Roman" w:hAnsi="Times New Roman" w:eastAsia="仿宋_GB2312"/>
          <w:sz w:val="32"/>
          <w:szCs w:val="32"/>
        </w:rPr>
        <w:t>振兴新路径。统筹县域城镇和村庄规划建设，保护传统村落和乡村风貌。完善乡村水、电、路、气、通信、广播电视、物流等基础设施，提升农房建设质量。</w:t>
      </w:r>
      <w:r>
        <w:rPr>
          <w:rFonts w:hint="eastAsia" w:ascii="Times New Roman" w:hAnsi="Times New Roman" w:eastAsia="仿宋_GB2312"/>
          <w:color w:val="000000" w:themeColor="text1"/>
          <w:sz w:val="32"/>
          <w:szCs w:val="32"/>
        </w:rPr>
        <w:t>推动全州“红色湘江”田园综合体等创建自治区级以上田园综合体。</w:t>
      </w:r>
    </w:p>
    <w:p w14:paraId="7CFDB162">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val="en-US" w:eastAsia="zh-CN" w:bidi="ar-SA"/>
        </w:rPr>
      </w:pPr>
      <w:r>
        <w:rPr>
          <w:rFonts w:ascii="Times New Roman" w:hAnsi="Times New Roman" w:eastAsia="仿宋_GB2312"/>
          <w:color w:val="000000" w:themeColor="text1"/>
          <w:sz w:val="32"/>
          <w:szCs w:val="32"/>
        </w:rPr>
        <w:t>因地制宜推进农村改厕、生活垃圾处理和污水治理，实施河湖水系综合整治，改善农村人居环境</w:t>
      </w:r>
      <w:r>
        <w:rPr>
          <w:rFonts w:hint="eastAsia" w:ascii="Times New Roman" w:hAnsi="Times New Roman" w:eastAsia="仿宋_GB2312"/>
          <w:color w:val="000000" w:themeColor="text1"/>
          <w:sz w:val="32"/>
          <w:szCs w:val="32"/>
          <w:lang w:val="en-US" w:eastAsia="zh-CN"/>
        </w:rPr>
        <w:t>,</w:t>
      </w:r>
      <w:r>
        <w:rPr>
          <w:rFonts w:hint="eastAsia" w:ascii="Times New Roman" w:hAnsi="Times New Roman" w:eastAsia="仿宋_GB2312" w:cs="宋体"/>
          <w:kern w:val="0"/>
          <w:sz w:val="32"/>
          <w:szCs w:val="32"/>
          <w:lang w:val="en-US" w:eastAsia="zh-CN" w:bidi="ar-SA"/>
        </w:rPr>
        <w:t>加快全州全国农村人居环境整治试点县建设。</w:t>
      </w:r>
      <w:r>
        <w:rPr>
          <w:rFonts w:ascii="Times New Roman" w:hAnsi="Times New Roman" w:eastAsia="仿宋_GB2312"/>
          <w:color w:val="000000" w:themeColor="text1"/>
          <w:sz w:val="32"/>
          <w:szCs w:val="32"/>
        </w:rPr>
        <w:t>提高农民</w:t>
      </w:r>
      <w:r>
        <w:rPr>
          <w:rFonts w:ascii="Times New Roman" w:hAnsi="Times New Roman" w:eastAsia="仿宋_GB2312" w:cs="宋体"/>
          <w:kern w:val="0"/>
          <w:sz w:val="32"/>
          <w:szCs w:val="32"/>
          <w:lang w:val="en-US" w:eastAsia="zh-CN" w:bidi="ar-SA"/>
        </w:rPr>
        <w:t>科技文化素质，推动乡村人才振兴。</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县农业农村局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县交通运输局、县乡村振兴局、县财政局、县住房城乡建设局、县文化广电体育和旅游局、</w:t>
      </w:r>
      <w:r>
        <w:rPr>
          <w:rFonts w:hint="eastAsia" w:ascii="Times New Roman" w:hAnsi="Times New Roman" w:eastAsia="仿宋_GB2312" w:cs="宋体"/>
          <w:kern w:val="0"/>
          <w:sz w:val="32"/>
          <w:szCs w:val="32"/>
          <w:lang w:eastAsia="zh-CN"/>
        </w:rPr>
        <w:t>各乡（镇）人民政府〕</w:t>
      </w:r>
    </w:p>
    <w:p w14:paraId="5114FC32">
      <w:pPr>
        <w:overflowPunct w:val="0"/>
        <w:autoSpaceDE w:val="0"/>
        <w:autoSpaceDN w:val="0"/>
        <w:adjustRightInd w:val="0"/>
        <w:snapToGrid w:val="0"/>
        <w:spacing w:line="360" w:lineRule="auto"/>
        <w:ind w:firstLine="396" w:firstLineChars="200"/>
        <w:rPr>
          <w:rFonts w:ascii="Times New Roman" w:hAnsi="Times New Roman" w:eastAsia="仿宋_GB2312"/>
          <w:color w:val="000000"/>
          <w:szCs w:val="21"/>
        </w:rPr>
      </w:pPr>
    </w:p>
    <w:p w14:paraId="657560CC">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kern w:val="0"/>
          <w:sz w:val="32"/>
          <w:szCs w:val="32"/>
        </w:rPr>
      </w:pPr>
      <w:bookmarkStart w:id="10" w:name="_Toc30555"/>
      <w:r>
        <w:rPr>
          <w:rStyle w:val="20"/>
          <w:rFonts w:hint="eastAsia" w:ascii="Times New Roman" w:hAnsi="Times New Roman" w:eastAsia="楷体_GB2312" w:cs="楷体_GB2312"/>
          <w:b w:val="0"/>
          <w:bCs/>
          <w:kern w:val="0"/>
          <w:sz w:val="32"/>
          <w:szCs w:val="32"/>
        </w:rPr>
        <w:t>第三节  构建现代农业农村产业体系</w:t>
      </w:r>
      <w:bookmarkEnd w:id="10"/>
    </w:p>
    <w:p w14:paraId="1CB509AB">
      <w:pPr>
        <w:overflowPunct w:val="0"/>
        <w:autoSpaceDE w:val="0"/>
        <w:autoSpaceDN w:val="0"/>
        <w:adjustRightInd w:val="0"/>
        <w:snapToGrid w:val="0"/>
        <w:spacing w:line="360" w:lineRule="auto"/>
        <w:ind w:firstLine="396" w:firstLineChars="200"/>
        <w:rPr>
          <w:rFonts w:ascii="Times New Roman" w:hAnsi="Times New Roman" w:eastAsia="仿宋_GB2312"/>
          <w:color w:val="000000"/>
          <w:szCs w:val="21"/>
        </w:rPr>
      </w:pPr>
    </w:p>
    <w:p w14:paraId="3F68A6FD">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0"/>
        </w:rPr>
        <w:t>围绕全国农产品质量安全县和广西农产品主产区功能定位，以实施乡村振兴战略为抓手，大力构建现代农业产业体系、生产体系、经营体系，加快推进全县农业实现高质量发展，打造“全国现代农业示范县”。继续建设好以“粮食、果蔬、禽畜、水产”为主的农业产业体系。以拓展二三产业为重点，延伸产业链条，开发特色化、多样化产品，提升乡村特色产业的附加值，促进农业多环节增效</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农民多渠道</w:t>
      </w:r>
      <w:r>
        <w:rPr>
          <w:rFonts w:hint="eastAsia" w:ascii="Times New Roman" w:hAnsi="Times New Roman" w:eastAsia="仿宋_GB2312" w:cs="宋体"/>
          <w:kern w:val="0"/>
          <w:sz w:val="32"/>
          <w:szCs w:val="32"/>
        </w:rPr>
        <w:t>增收。</w:t>
      </w:r>
    </w:p>
    <w:p w14:paraId="5A5A1478">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rPr>
        <w:t>发展传统优势农业。严格实行粮食安全党政同责，压实各级党委和政府保护耕地的责任，稳步提高粮食综合生产能力。大力发展以水稻、玉米为主的粮食作物，积极推进标准化粮食生产基地建设，确保粮食安全。</w:t>
      </w:r>
      <w:r>
        <w:rPr>
          <w:rFonts w:ascii="Times New Roman" w:hAnsi="Times New Roman" w:eastAsia="仿宋_GB2312" w:cs="宋体"/>
          <w:kern w:val="0"/>
          <w:sz w:val="32"/>
          <w:szCs w:val="32"/>
        </w:rPr>
        <w:t>稳定粮食播种面积，大力发展旱粮生产。</w:t>
      </w:r>
      <w:r>
        <w:rPr>
          <w:rFonts w:hint="eastAsia" w:ascii="Times New Roman" w:hAnsi="Times New Roman" w:eastAsia="仿宋_GB2312" w:cs="宋体"/>
          <w:kern w:val="0"/>
          <w:sz w:val="32"/>
          <w:szCs w:val="32"/>
        </w:rPr>
        <w:t>重抓</w:t>
      </w:r>
      <w:r>
        <w:rPr>
          <w:rFonts w:ascii="Times New Roman" w:hAnsi="Times New Roman" w:eastAsia="仿宋_GB2312" w:cs="宋体"/>
          <w:kern w:val="0"/>
          <w:sz w:val="32"/>
          <w:szCs w:val="32"/>
        </w:rPr>
        <w:t>优质稻谷、玉米等</w:t>
      </w:r>
      <w:r>
        <w:rPr>
          <w:rFonts w:hint="eastAsia" w:ascii="Times New Roman" w:hAnsi="Times New Roman" w:eastAsia="仿宋_GB2312" w:cs="宋体"/>
          <w:kern w:val="0"/>
          <w:sz w:val="32"/>
          <w:szCs w:val="32"/>
          <w:lang w:eastAsia="zh-CN"/>
        </w:rPr>
        <w:t>作物</w:t>
      </w:r>
      <w:r>
        <w:rPr>
          <w:rFonts w:ascii="Times New Roman" w:hAnsi="Times New Roman" w:eastAsia="仿宋_GB2312" w:cs="宋体"/>
          <w:kern w:val="0"/>
          <w:sz w:val="32"/>
          <w:szCs w:val="32"/>
        </w:rPr>
        <w:t>种植</w:t>
      </w:r>
      <w:r>
        <w:rPr>
          <w:rFonts w:hint="eastAsia" w:ascii="Times New Roman" w:hAnsi="Times New Roman" w:eastAsia="仿宋_GB2312" w:cs="宋体"/>
          <w:kern w:val="0"/>
          <w:sz w:val="32"/>
          <w:szCs w:val="32"/>
        </w:rPr>
        <w:t>，确保粮食产量平稳增长，加快建设优质稻标准化生产基地、超级稻生产基地和“稻—灯—鱼—菇”高效循环农业基地，建设国家商品粮基地。做强优质果蔬种植产业</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加强果蔬标准化、规模化种植，优化优质果蔬品种，加快发展辣椒、大蒜、生姜等“三辣”产品；协调发展柑橘、梨、李、葡萄、猕猴桃、槟榔芋以及食用菌等品种。建立优质水果基地，改善果蔬品种和品质，推广种植高产、高档、优质、特色和精细果蔬良种，推广循环型种植模式。加大优质水果管护及品种改良力度，建设标准化生产基地，提高组织化管理。</w:t>
      </w:r>
      <w:r>
        <w:rPr>
          <w:rFonts w:ascii="Times New Roman" w:hAnsi="Times New Roman" w:eastAsia="仿宋_GB2312" w:cs="宋体"/>
          <w:kern w:val="0"/>
          <w:sz w:val="32"/>
          <w:szCs w:val="32"/>
        </w:rPr>
        <w:t>到202</w:t>
      </w:r>
      <w:r>
        <w:rPr>
          <w:rFonts w:hint="eastAsia" w:ascii="Times New Roman" w:hAnsi="Times New Roman" w:eastAsia="仿宋_GB2312" w:cs="宋体"/>
          <w:kern w:val="0"/>
          <w:sz w:val="32"/>
          <w:szCs w:val="32"/>
        </w:rPr>
        <w:t>5</w:t>
      </w:r>
      <w:r>
        <w:rPr>
          <w:rFonts w:ascii="Times New Roman" w:hAnsi="Times New Roman" w:eastAsia="仿宋_GB2312" w:cs="宋体"/>
          <w:kern w:val="0"/>
          <w:sz w:val="32"/>
          <w:szCs w:val="32"/>
        </w:rPr>
        <w:t>年，全县粮食播种面积稳定在</w:t>
      </w:r>
      <w:r>
        <w:rPr>
          <w:rFonts w:hint="eastAsia" w:ascii="Times New Roman" w:hAnsi="Times New Roman" w:eastAsia="仿宋_GB2312" w:cs="宋体"/>
          <w:kern w:val="0"/>
          <w:sz w:val="32"/>
          <w:szCs w:val="32"/>
        </w:rPr>
        <w:t>118</w:t>
      </w:r>
      <w:r>
        <w:rPr>
          <w:rFonts w:ascii="Times New Roman" w:hAnsi="Times New Roman" w:eastAsia="仿宋_GB2312" w:cs="宋体"/>
          <w:kern w:val="0"/>
          <w:sz w:val="32"/>
          <w:szCs w:val="32"/>
        </w:rPr>
        <w:t>万亩以上，建成优质稻示范区</w:t>
      </w:r>
      <w:r>
        <w:rPr>
          <w:rFonts w:hint="eastAsia" w:ascii="Times New Roman" w:hAnsi="Times New Roman" w:eastAsia="仿宋_GB2312" w:cs="宋体"/>
          <w:kern w:val="0"/>
          <w:sz w:val="32"/>
          <w:szCs w:val="32"/>
        </w:rPr>
        <w:t>5</w:t>
      </w:r>
      <w:r>
        <w:rPr>
          <w:rFonts w:ascii="Times New Roman" w:hAnsi="Times New Roman" w:eastAsia="仿宋_GB2312" w:cs="宋体"/>
          <w:kern w:val="0"/>
          <w:sz w:val="32"/>
          <w:szCs w:val="32"/>
        </w:rPr>
        <w:t>个，水稻种植面积稳定在</w:t>
      </w:r>
      <w:r>
        <w:rPr>
          <w:rFonts w:hint="eastAsia" w:ascii="Times New Roman" w:hAnsi="Times New Roman" w:eastAsia="仿宋_GB2312" w:cs="宋体"/>
          <w:kern w:val="0"/>
          <w:sz w:val="32"/>
          <w:szCs w:val="32"/>
        </w:rPr>
        <w:t>75</w:t>
      </w:r>
      <w:r>
        <w:rPr>
          <w:rFonts w:ascii="Times New Roman" w:hAnsi="Times New Roman" w:eastAsia="仿宋_GB2312" w:cs="宋体"/>
          <w:kern w:val="0"/>
          <w:sz w:val="32"/>
          <w:szCs w:val="32"/>
        </w:rPr>
        <w:t>万亩以上，粮食总产量达</w:t>
      </w:r>
      <w:r>
        <w:rPr>
          <w:rFonts w:hint="eastAsia" w:ascii="Times New Roman" w:hAnsi="Times New Roman" w:eastAsia="仿宋_GB2312" w:cs="宋体"/>
          <w:kern w:val="0"/>
          <w:sz w:val="32"/>
          <w:szCs w:val="32"/>
        </w:rPr>
        <w:t>40</w:t>
      </w:r>
      <w:r>
        <w:rPr>
          <w:rFonts w:ascii="Times New Roman" w:hAnsi="Times New Roman" w:eastAsia="仿宋_GB2312" w:cs="宋体"/>
          <w:kern w:val="0"/>
          <w:sz w:val="32"/>
          <w:szCs w:val="32"/>
        </w:rPr>
        <w:t>万吨以上。</w:t>
      </w:r>
      <w:r>
        <w:rPr>
          <w:rFonts w:hint="eastAsia" w:ascii="Times New Roman" w:hAnsi="Times New Roman" w:eastAsia="仿宋_GB2312" w:cs="宋体"/>
          <w:kern w:val="0"/>
          <w:sz w:val="32"/>
          <w:szCs w:val="32"/>
        </w:rPr>
        <w:t>全县蔬菜标准化种植面积达到16万亩，产值突破11.2亿元，以柑橘为主的优质水果种植面积达到46万亩以上，产值突破30亿元。</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w:t>
      </w:r>
      <w:r>
        <w:rPr>
          <w:rFonts w:hint="eastAsia" w:ascii="Times New Roman" w:hAnsi="Times New Roman" w:eastAsia="仿宋_GB2312" w:cs="宋体"/>
          <w:kern w:val="0"/>
          <w:sz w:val="32"/>
          <w:szCs w:val="32"/>
        </w:rPr>
        <w:t>农机中心、</w:t>
      </w:r>
      <w:r>
        <w:rPr>
          <w:rFonts w:hint="eastAsia" w:ascii="Times New Roman" w:hAnsi="Times New Roman" w:eastAsia="仿宋_GB2312" w:cs="宋体"/>
          <w:kern w:val="0"/>
          <w:sz w:val="32"/>
          <w:szCs w:val="32"/>
          <w:lang w:eastAsia="zh-CN"/>
        </w:rPr>
        <w:t>各乡（镇）人民政府〕</w:t>
      </w:r>
    </w:p>
    <w:p w14:paraId="6904AC73">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发展特色种养产业。发展特色产业，做实做强做优实体经济，结合自身条件和优势，推动高质量发展。把住质量安全关，推进标准化、品牌化。因地制宜保持金槐、特色中药材</w:t>
      </w:r>
      <w:r>
        <w:rPr>
          <w:rFonts w:ascii="Times New Roman" w:hAnsi="Times New Roman" w:eastAsia="仿宋_GB2312" w:cs="宋体"/>
          <w:kern w:val="0"/>
          <w:sz w:val="32"/>
          <w:szCs w:val="32"/>
        </w:rPr>
        <w:t>、香樟</w:t>
      </w:r>
      <w:r>
        <w:rPr>
          <w:rFonts w:hint="eastAsia" w:ascii="Times New Roman" w:hAnsi="Times New Roman" w:eastAsia="仿宋_GB2312" w:cs="宋体"/>
          <w:kern w:val="0"/>
          <w:sz w:val="32"/>
          <w:szCs w:val="32"/>
        </w:rPr>
        <w:t>、禾花鱼、东山猪、文桥鸭、</w:t>
      </w:r>
      <w:r>
        <w:rPr>
          <w:rFonts w:hint="eastAsia" w:ascii="Times New Roman" w:hAnsi="Times New Roman" w:eastAsia="仿宋_GB2312" w:cs="宋体"/>
          <w:kern w:val="0"/>
          <w:sz w:val="32"/>
          <w:szCs w:val="32"/>
          <w:lang w:eastAsia="zh-CN"/>
        </w:rPr>
        <w:t>石塘镇</w:t>
      </w:r>
      <w:r>
        <w:rPr>
          <w:rFonts w:hint="eastAsia" w:ascii="Times New Roman" w:hAnsi="Times New Roman" w:eastAsia="仿宋_GB2312" w:cs="宋体"/>
          <w:kern w:val="0"/>
          <w:sz w:val="32"/>
          <w:szCs w:val="32"/>
        </w:rPr>
        <w:t>生姜等特色产业，积极引导原有特色种植养殖户转型发展。在传统“8+3”特色品种基础上，扩大东山茶叶、安和芋头以及油茶、中药材种植面积，加快产业化步伐。布局发展生猪优势养殖区，重点发展生猪和优质黄牛养殖，建设国家生猪生产基地，大力发展东山猪、文桥鸭和高山羊等特色养殖，大力发展以生猪、肉牛、家禽等为主的传统畜禽养殖。推进畜禽标准化养殖示范基地建设，推进舍饲、半舍饲养殖，加大对猪、牛等规模化养殖场的扶持。</w:t>
      </w:r>
      <w:r>
        <w:rPr>
          <w:rFonts w:ascii="Times New Roman" w:hAnsi="Times New Roman" w:eastAsia="仿宋_GB2312" w:cs="宋体"/>
          <w:kern w:val="0"/>
          <w:sz w:val="32"/>
          <w:szCs w:val="32"/>
        </w:rPr>
        <w:t>稳步发展稻田禾花鱼生态养殖，</w:t>
      </w:r>
      <w:r>
        <w:rPr>
          <w:rFonts w:hint="eastAsia" w:ascii="Times New Roman" w:hAnsi="Times New Roman" w:eastAsia="仿宋_GB2312" w:cs="宋体"/>
          <w:kern w:val="0"/>
          <w:sz w:val="32"/>
          <w:szCs w:val="32"/>
        </w:rPr>
        <w:t>以天湖绿淼稻渔共生核心示范区为标杆，建设“副市长+副县长+科技特派员+一县一业”科技工作机制，加快推进稻渔共生规模化发展，大力扶持全县发展稻渔共生等生态综合种养规模化发展。</w:t>
      </w:r>
      <w:r>
        <w:rPr>
          <w:rFonts w:ascii="Times New Roman" w:hAnsi="Times New Roman" w:eastAsia="仿宋_GB2312" w:cs="宋体"/>
          <w:kern w:val="0"/>
          <w:sz w:val="32"/>
          <w:szCs w:val="32"/>
        </w:rPr>
        <w:t>推进草鱼、鳙鱼</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鲢鱼</w:t>
      </w:r>
      <w:r>
        <w:rPr>
          <w:rFonts w:hint="eastAsia" w:ascii="Times New Roman" w:hAnsi="Times New Roman" w:eastAsia="仿宋_GB2312" w:cs="宋体"/>
          <w:kern w:val="0"/>
          <w:sz w:val="32"/>
          <w:szCs w:val="32"/>
        </w:rPr>
        <w:t>，以及</w:t>
      </w:r>
      <w:r>
        <w:rPr>
          <w:rFonts w:ascii="Times New Roman" w:hAnsi="Times New Roman" w:eastAsia="仿宋_GB2312" w:cs="宋体"/>
          <w:kern w:val="0"/>
          <w:sz w:val="32"/>
          <w:szCs w:val="32"/>
        </w:rPr>
        <w:t>泉水鱼、冷水鱼等特种鱼类</w:t>
      </w:r>
      <w:r>
        <w:rPr>
          <w:rFonts w:hint="eastAsia" w:ascii="Times New Roman" w:hAnsi="Times New Roman" w:eastAsia="仿宋_GB2312" w:cs="宋体"/>
          <w:kern w:val="0"/>
          <w:sz w:val="32"/>
          <w:szCs w:val="32"/>
        </w:rPr>
        <w:t>的</w:t>
      </w:r>
      <w:r>
        <w:rPr>
          <w:rFonts w:ascii="Times New Roman" w:hAnsi="Times New Roman" w:eastAsia="仿宋_GB2312" w:cs="宋体"/>
          <w:kern w:val="0"/>
          <w:sz w:val="32"/>
          <w:szCs w:val="32"/>
        </w:rPr>
        <w:t>规模化养殖</w:t>
      </w:r>
      <w:r>
        <w:rPr>
          <w:rFonts w:hint="eastAsia" w:ascii="Times New Roman" w:hAnsi="Times New Roman" w:eastAsia="仿宋_GB2312" w:cs="宋体"/>
          <w:kern w:val="0"/>
          <w:sz w:val="32"/>
          <w:szCs w:val="32"/>
        </w:rPr>
        <w:t>，打造全州桂北冷水鱼优势区。大力建设金槐生产核心示范区、中药材种植示范区、蔬菜种植示范区。通过结构优化、功能拓展、链条延伸、产业融合等多维立体方式</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提高农业整体素质和竞争力</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逐步建立起与“农业现代化取得明显进展”相适应的现代农业产业体系。</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0B898CBD">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开发特色食品。重点开发金槐、辣椒（酱）、醋血鸭、禾花鱼、腊肠、豆豉、酸姜等传统食品；传承特色技艺，改造提升土陶陶艺、纺织等传统工艺。做强产品加工，鼓励龙头企业建设标准化、清洁化、智能化加工厂，引导农户、家庭农场建设一批家庭工场、手工作坊、乡村车间，用标准化技术改造提升金槐制品、辣椒酱、腊肉腊肠等乡土产品</w:t>
      </w:r>
      <w:r>
        <w:rPr>
          <w:rFonts w:hint="eastAsia" w:ascii="Times New Roman" w:hAnsi="Times New Roman" w:eastAsia="仿宋_GB2312" w:cs="宋体"/>
          <w:kern w:val="0"/>
          <w:sz w:val="32"/>
          <w:szCs w:val="32"/>
          <w:lang w:eastAsia="zh-CN"/>
        </w:rPr>
        <w:t>及</w:t>
      </w:r>
      <w:r>
        <w:rPr>
          <w:rFonts w:hint="eastAsia" w:ascii="Times New Roman" w:hAnsi="Times New Roman" w:eastAsia="仿宋_GB2312" w:cs="宋体"/>
          <w:kern w:val="0"/>
          <w:sz w:val="32"/>
          <w:szCs w:val="32"/>
        </w:rPr>
        <w:t>编织、制陶</w:t>
      </w:r>
      <w:r>
        <w:rPr>
          <w:rFonts w:hint="eastAsia" w:ascii="Times New Roman" w:hAnsi="Times New Roman" w:eastAsia="仿宋_GB2312" w:cs="宋体"/>
          <w:kern w:val="0"/>
          <w:sz w:val="32"/>
          <w:szCs w:val="32"/>
          <w:lang w:eastAsia="zh-CN"/>
        </w:rPr>
        <w:t>等传统工艺</w:t>
      </w:r>
      <w:r>
        <w:rPr>
          <w:rFonts w:hint="eastAsia" w:ascii="Times New Roman" w:hAnsi="Times New Roman" w:eastAsia="仿宋_GB2312" w:cs="宋体"/>
          <w:kern w:val="0"/>
          <w:sz w:val="32"/>
          <w:szCs w:val="32"/>
        </w:rPr>
        <w:t>。</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县工业和信息化局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13E7FD9D">
      <w:pPr>
        <w:overflowPunct w:val="0"/>
        <w:autoSpaceDE w:val="0"/>
        <w:autoSpaceDN w:val="0"/>
        <w:adjustRightInd w:val="0"/>
        <w:snapToGrid w:val="0"/>
        <w:spacing w:line="360" w:lineRule="auto"/>
        <w:ind w:firstLine="536" w:firstLineChars="200"/>
        <w:rPr>
          <w:rFonts w:ascii="Times New Roman" w:hAnsi="Times New Roman" w:eastAsia="仿宋_GB2312"/>
          <w:color w:val="000000"/>
          <w:sz w:val="28"/>
          <w:szCs w:val="28"/>
        </w:rPr>
      </w:pPr>
    </w:p>
    <w:p w14:paraId="27263B1F">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kern w:val="0"/>
          <w:sz w:val="32"/>
          <w:szCs w:val="30"/>
        </w:rPr>
      </w:pPr>
      <w:bookmarkStart w:id="11" w:name="_Toc12070"/>
      <w:bookmarkStart w:id="12" w:name="_Toc1539"/>
      <w:r>
        <w:rPr>
          <w:rStyle w:val="20"/>
          <w:rFonts w:hint="eastAsia" w:ascii="Times New Roman" w:hAnsi="Times New Roman" w:eastAsia="楷体_GB2312" w:cs="楷体_GB2312"/>
          <w:b w:val="0"/>
          <w:bCs/>
          <w:kern w:val="0"/>
          <w:sz w:val="32"/>
          <w:szCs w:val="32"/>
        </w:rPr>
        <w:t>第四节  完善现代农业农村生产体系</w:t>
      </w:r>
      <w:bookmarkEnd w:id="11"/>
      <w:bookmarkEnd w:id="12"/>
    </w:p>
    <w:p w14:paraId="678C6FB5">
      <w:pPr>
        <w:overflowPunct w:val="0"/>
        <w:autoSpaceDE w:val="0"/>
        <w:autoSpaceDN w:val="0"/>
        <w:adjustRightInd w:val="0"/>
        <w:snapToGrid w:val="0"/>
        <w:spacing w:line="360" w:lineRule="auto"/>
        <w:ind w:firstLine="396" w:firstLineChars="200"/>
        <w:rPr>
          <w:rFonts w:ascii="Times New Roman" w:hAnsi="Times New Roman" w:eastAsia="仿宋_GB2312"/>
          <w:color w:val="000000"/>
          <w:szCs w:val="21"/>
        </w:rPr>
      </w:pPr>
    </w:p>
    <w:p w14:paraId="3C1FE851">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按照聚焦集约要求，夯实现代农业基础，抓好高标准农田建设、农业科技创新与推广应用，进一步完善现代农业生产体系。</w:t>
      </w:r>
    </w:p>
    <w:p w14:paraId="7C20DF88">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color w:val="auto"/>
          <w:kern w:val="0"/>
          <w:sz w:val="32"/>
          <w:szCs w:val="32"/>
          <w:lang w:eastAsia="zh-CN"/>
        </w:rPr>
      </w:pPr>
      <w:r>
        <w:rPr>
          <w:rFonts w:hint="eastAsia" w:ascii="Times New Roman" w:hAnsi="Times New Roman" w:eastAsia="仿宋_GB2312" w:cs="宋体"/>
          <w:kern w:val="0"/>
          <w:sz w:val="32"/>
          <w:szCs w:val="32"/>
        </w:rPr>
        <w:t>抓好基地（产业园）建设。以发展现代设施农业、绿色农业为主攻方向，引导县外农业产业化龙头企业与我县合作创建绿色优质农产品原料基地，推进农业产业基地规模化、现代化、生态化建设，巩固发展“稻渔、金槐、药材、生猪、肉牛、果蔬、茶叶”等特色优势产业，着力打造绿色食品品牌和绿色食品基地，重点打造生态大米生产基地、生姜大蒜生产基地、生猪</w:t>
      </w:r>
      <w:r>
        <w:rPr>
          <w:rFonts w:hint="eastAsia" w:ascii="Times New Roman" w:hAnsi="Times New Roman" w:eastAsia="仿宋_GB2312" w:cs="宋体"/>
          <w:kern w:val="0"/>
          <w:sz w:val="32"/>
          <w:szCs w:val="32"/>
          <w:lang w:eastAsia="zh-CN"/>
        </w:rPr>
        <w:t>（含东山猪）</w:t>
      </w:r>
      <w:r>
        <w:rPr>
          <w:rFonts w:hint="eastAsia" w:ascii="Times New Roman" w:hAnsi="Times New Roman" w:eastAsia="仿宋_GB2312" w:cs="宋体"/>
          <w:kern w:val="0"/>
          <w:sz w:val="32"/>
          <w:szCs w:val="32"/>
        </w:rPr>
        <w:t>生产基地、肉牛生产基地、蔬菜生产基地、药材生产基地、水果生产基地、茶叶生产基地，</w:t>
      </w:r>
      <w:r>
        <w:rPr>
          <w:rFonts w:ascii="Times New Roman" w:hAnsi="Times New Roman" w:eastAsia="仿宋_GB2312" w:cs="宋体"/>
          <w:kern w:val="0"/>
          <w:sz w:val="32"/>
          <w:szCs w:val="32"/>
        </w:rPr>
        <w:t>实施农产品产地市场体系建设和仓储保鲜冷链设施建设，大力发展农村电商，拓宽申通农产品流通渠道</w:t>
      </w:r>
      <w:r>
        <w:rPr>
          <w:rFonts w:hint="eastAsia" w:ascii="Times New Roman" w:hAnsi="Times New Roman" w:eastAsia="仿宋_GB2312" w:cs="宋体"/>
          <w:kern w:val="0"/>
          <w:sz w:val="32"/>
          <w:szCs w:val="32"/>
        </w:rPr>
        <w:t>，使全州成为大湾区等大中城市的绿色食品供应基地。</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县工业和信息化局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color w:val="auto"/>
          <w:kern w:val="0"/>
          <w:sz w:val="32"/>
          <w:szCs w:val="32"/>
        </w:rPr>
        <w:t>、</w:t>
      </w:r>
      <w:r>
        <w:rPr>
          <w:rFonts w:hint="eastAsia" w:ascii="Times New Roman" w:hAnsi="Times New Roman" w:eastAsia="仿宋_GB2312" w:cs="宋体"/>
          <w:color w:val="auto"/>
          <w:kern w:val="0"/>
          <w:sz w:val="32"/>
          <w:szCs w:val="32"/>
          <w:lang w:eastAsia="zh-CN"/>
        </w:rPr>
        <w:t>县</w:t>
      </w:r>
      <w:r>
        <w:rPr>
          <w:rFonts w:hint="eastAsia" w:ascii="Times New Roman" w:hAnsi="Times New Roman" w:eastAsia="仿宋_GB2312" w:cs="宋体"/>
          <w:color w:val="auto"/>
          <w:kern w:val="0"/>
          <w:sz w:val="32"/>
          <w:szCs w:val="32"/>
        </w:rPr>
        <w:t>农机中心、</w:t>
      </w:r>
      <w:r>
        <w:rPr>
          <w:rFonts w:hint="eastAsia" w:ascii="Times New Roman" w:hAnsi="Times New Roman" w:eastAsia="仿宋_GB2312" w:cs="宋体"/>
          <w:color w:val="auto"/>
          <w:kern w:val="0"/>
          <w:sz w:val="32"/>
          <w:szCs w:val="32"/>
          <w:lang w:eastAsia="zh-CN"/>
        </w:rPr>
        <w:t>各乡（镇）人民政府〕</w:t>
      </w:r>
    </w:p>
    <w:p w14:paraId="01CCDD58">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color w:val="auto"/>
          <w:kern w:val="0"/>
          <w:sz w:val="32"/>
          <w:szCs w:val="32"/>
        </w:rPr>
        <w:t>重视科技成果应用。以桂建芳院士工作站为榜样，</w:t>
      </w:r>
      <w:r>
        <w:rPr>
          <w:rFonts w:hint="eastAsia" w:ascii="Times New Roman" w:hAnsi="Times New Roman" w:eastAsia="仿宋_GB2312" w:cs="宋体"/>
          <w:kern w:val="0"/>
          <w:sz w:val="32"/>
          <w:szCs w:val="32"/>
        </w:rPr>
        <w:t>充分发挥科研院所的科研资源、技术、人才优势以及全州县的特色资源、地域、导向能力等优势，运用好科技特派员政策，加强在科研项目、科研成果转移转化、技术人才培养和应用方面的合作，在全州合作建立科研成果转化、农林经济植物、中药材新品种选育、高效种植试验示范和种苗联合生产基地，并在农林产品深加工方面提供技术支持，共同推动全县农林产业的发展。建设农产品加工集中区，发展壮大农产品精深加工业</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加大对农产品加工技术的研究投入与创新应用，不断提升生态农业的附加值。着力打造农业科技园区，加快构建以企业为主体、市场为导向、产学研用深度融合的产业技术创新体系，促进全县稻渔综合种养产业机构化升级。</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县科技局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县工业和信息化局</w:t>
      </w:r>
      <w:r>
        <w:rPr>
          <w:rFonts w:ascii="Times New Roman" w:hAnsi="Times New Roman" w:eastAsia="仿宋_GB2312" w:cs="宋体"/>
          <w:kern w:val="0"/>
          <w:sz w:val="32"/>
          <w:szCs w:val="32"/>
        </w:rPr>
        <w:t>）</w:t>
      </w:r>
    </w:p>
    <w:p w14:paraId="16014E63">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加快田园综合体和农业强镇建设。积极规划和建设不同主题类型的田园综合体和农业强镇。通过田园综合体和农业强镇建设，整合各类资源</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以点带面，推动全县农业生产体系建设。选择有产业、文化、景点、生态等特色的村屯，整片规划、重点开发，建设田园综合体。聚焦文旅、农旅、稻米、金槐、禾花鱼、生猪、牛羊、姜蒜、油茶、茶叶、花卉园林、中药材等主导产业，吸引资本聚镇、能人入镇、技术进镇。</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7FE5A499">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color w:val="FF0000"/>
          <w:sz w:val="21"/>
          <w:szCs w:val="21"/>
        </w:rPr>
      </w:pPr>
      <w:r>
        <w:rPr>
          <w:rFonts w:hint="eastAsia" w:ascii="Times New Roman" w:hAnsi="Times New Roman" w:eastAsia="仿宋_GB2312" w:cs="宋体"/>
          <w:kern w:val="0"/>
          <w:sz w:val="32"/>
          <w:szCs w:val="32"/>
        </w:rPr>
        <w:t>加快融合发展。以新型示范乡镇、田园综合体、核心示范区、生产基地等为载体，以农业生产为主体，在粮食生产功能区、重要农产品保护区，培育渔稻共生、乡村休闲旅游、数字农业等新产业新业态，适度布局加工产能和旅游休闲设施，推进农业文化、旅游、教育与康养等产业融合，建立健全融合机制。引导新型农业经营主体与小农户建立多种类型的合作方式，促进利益融合。推广“订单收购+分红”</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“农民入股+保底收益+按股分红”等模式，完善利益分配机制。</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县文化广电体育和旅游局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县教育局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县民政局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bookmarkStart w:id="13" w:name="_Toc28965"/>
      <w:bookmarkStart w:id="14" w:name="_Toc6711"/>
    </w:p>
    <w:p w14:paraId="10A3A0C0">
      <w:pPr>
        <w:overflowPunct w:val="0"/>
        <w:autoSpaceDE w:val="0"/>
        <w:autoSpaceDN w:val="0"/>
        <w:adjustRightInd w:val="0"/>
        <w:snapToGrid w:val="0"/>
        <w:spacing w:line="360" w:lineRule="auto"/>
        <w:ind w:firstLine="396" w:firstLineChars="200"/>
        <w:rPr>
          <w:rFonts w:ascii="Times New Roman" w:hAnsi="Times New Roman"/>
        </w:rPr>
      </w:pPr>
    </w:p>
    <w:p w14:paraId="1CB83D6B">
      <w:pPr>
        <w:pStyle w:val="14"/>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sz w:val="32"/>
          <w:szCs w:val="32"/>
        </w:rPr>
      </w:pPr>
      <w:r>
        <w:rPr>
          <w:rStyle w:val="20"/>
          <w:rFonts w:hint="eastAsia" w:ascii="Times New Roman" w:hAnsi="Times New Roman" w:eastAsia="楷体_GB2312" w:cs="楷体_GB2312"/>
          <w:b w:val="0"/>
          <w:bCs/>
          <w:sz w:val="32"/>
          <w:szCs w:val="32"/>
        </w:rPr>
        <w:t>第五节 构建新型农业经营体系</w:t>
      </w:r>
      <w:bookmarkEnd w:id="13"/>
      <w:bookmarkEnd w:id="14"/>
    </w:p>
    <w:p w14:paraId="67FAB70F">
      <w:pPr>
        <w:pStyle w:val="14"/>
        <w:overflowPunct w:val="0"/>
        <w:autoSpaceDE w:val="0"/>
        <w:autoSpaceDN w:val="0"/>
        <w:adjustRightInd w:val="0"/>
        <w:snapToGrid w:val="0"/>
        <w:spacing w:line="360" w:lineRule="auto"/>
        <w:ind w:firstLine="396" w:firstLineChars="200"/>
        <w:jc w:val="both"/>
        <w:rPr>
          <w:rFonts w:ascii="Times New Roman" w:hAnsi="Times New Roman" w:eastAsia="仿宋_GB2312" w:cs="宋体"/>
          <w:color w:val="FF0000"/>
          <w:sz w:val="21"/>
          <w:szCs w:val="21"/>
        </w:rPr>
      </w:pPr>
    </w:p>
    <w:p w14:paraId="6494A463">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sz w:val="32"/>
          <w:szCs w:val="30"/>
        </w:rPr>
        <w:t>结合乡村振兴，构建新型农业经营体系。鼓励社会资本投资发展现代农业种植和加工领域，促进农业适度规模经营；提升专业大户、家庭农场、农民专业合作社等新型经营主体和服务主体的发展质量，鼓励和支持新型经营主体的企业品牌及其产品品牌的打造，</w:t>
      </w:r>
      <w:r>
        <w:rPr>
          <w:rFonts w:hint="eastAsia" w:ascii="Times New Roman" w:hAnsi="Times New Roman" w:eastAsia="仿宋_GB2312"/>
          <w:color w:val="000000" w:themeColor="text1"/>
          <w:kern w:val="2"/>
          <w:sz w:val="32"/>
          <w:szCs w:val="32"/>
        </w:rPr>
        <w:t>鼓励、支</w:t>
      </w:r>
      <w:r>
        <w:rPr>
          <w:rFonts w:hint="eastAsia" w:ascii="Times New Roman" w:hAnsi="Times New Roman" w:eastAsia="仿宋_GB2312" w:cs="宋体"/>
          <w:kern w:val="0"/>
          <w:sz w:val="32"/>
          <w:szCs w:val="32"/>
          <w:lang w:val="en-US" w:eastAsia="zh-CN" w:bidi="ar-SA"/>
        </w:rPr>
        <w:t>持、引导民营企业发展壮大。</w:t>
      </w:r>
    </w:p>
    <w:p w14:paraId="74403F4C">
      <w:pPr>
        <w:pStyle w:val="14"/>
        <w:overflowPunct w:val="0"/>
        <w:autoSpaceDE w:val="0"/>
        <w:autoSpaceDN w:val="0"/>
        <w:adjustRightInd w:val="0"/>
        <w:snapToGrid w:val="0"/>
        <w:spacing w:line="360" w:lineRule="auto"/>
        <w:ind w:firstLine="616" w:firstLineChars="200"/>
        <w:jc w:val="both"/>
        <w:rPr>
          <w:rFonts w:hint="eastAsia"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鼓励社会资本投资发展现代农业，培育农业龙头企业，加快形成规模效益。出台社会资本投资农业相关鼓励政策，明确企业投资规模与用地、用工、用水、用电、税收等方面指标，引导社会资本投向金槐、生猪、肉牛、禾花鱼、中草药、水稻、水果、蔬菜、茶叶、花卉园林等种养业领域，红薯粉、面条、全州油（姜）茶、果蔬加工等农产品加工流通业等领域，发展规模化、标准化、品牌化的现代农业，建设生猪、肉牛、金槐、生姜、蒜米、水果等优势特色农业产业集群，建设供应粤港澳大湾区的农产品精深加工基地。加快建设农产品产销运营中心，通过龙头企业的引进、产品精准销售的帮扶，解决带动能力不强、产品销售困难问题。力争“十四五”期间培育农业龙头企业达10家以上。</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县农业农村局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w:t>
      </w:r>
      <w:r>
        <w:rPr>
          <w:rFonts w:hint="eastAsia" w:ascii="Times New Roman" w:hAnsi="Times New Roman" w:eastAsia="仿宋_GB2312" w:cs="宋体"/>
          <w:kern w:val="0"/>
          <w:sz w:val="32"/>
          <w:szCs w:val="32"/>
          <w:lang w:eastAsia="zh-CN"/>
        </w:rPr>
        <w:t>各乡（镇）人民政府〕</w:t>
      </w:r>
    </w:p>
    <w:p w14:paraId="36132CE0">
      <w:pPr>
        <w:pStyle w:val="14"/>
        <w:overflowPunct w:val="0"/>
        <w:autoSpaceDE w:val="0"/>
        <w:autoSpaceDN w:val="0"/>
        <w:adjustRightInd w:val="0"/>
        <w:snapToGrid w:val="0"/>
        <w:spacing w:line="360" w:lineRule="auto"/>
        <w:ind w:firstLine="616" w:firstLineChars="200"/>
        <w:jc w:val="both"/>
        <w:rPr>
          <w:rFonts w:hint="eastAsia"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提升新型经营主体发展质量。支持家庭农场、农民合作社等新型经营主体，建设产地初加工、分拣包装、冷藏保鲜、仓储运输、农机装备等基础设施，促进农业现代化水平的提升；对以上设施用地纳入农用地管理，保障新型经营主体和服务主体的合理用地需求。鼓励各类新型主体提供社会化服务，增强其带动成员的能力。培育壮大新型经营主体，联合金融、保险机构通过建立新型经营主体和服务主体信用名录、农业生产设施、土地经营权依法合规抵押融资，给予信贷支持和多种保险保障。通过政府购买服务等方式解决新型经营主体和服务主体的财会人员短缺问题。发掘一批乡村能工巧匠，集中力量扶持几家大型农业企业，培育一批乡村企业家。同时，培养乡村基层科技人才，培育新型职业农民，培养一批引领农林业创新发展、多学科背景的复合应用型农林人才，加快推进实用技能型人才培养。培养一批懂经营、善管理的村级集体经济带头人。</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县农业农村局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县自然资源局、</w:t>
      </w:r>
      <w:r>
        <w:rPr>
          <w:rFonts w:hint="eastAsia" w:ascii="Times New Roman" w:hAnsi="Times New Roman" w:eastAsia="仿宋_GB2312" w:cs="宋体"/>
          <w:kern w:val="0"/>
          <w:sz w:val="32"/>
          <w:szCs w:val="32"/>
          <w:lang w:eastAsia="zh-CN"/>
        </w:rPr>
        <w:t>各乡（镇）人民政府〕</w:t>
      </w:r>
    </w:p>
    <w:p w14:paraId="58BDA365">
      <w:pPr>
        <w:pStyle w:val="14"/>
        <w:overflowPunct w:val="0"/>
        <w:autoSpaceDE w:val="0"/>
        <w:autoSpaceDN w:val="0"/>
        <w:adjustRightInd w:val="0"/>
        <w:snapToGrid w:val="0"/>
        <w:spacing w:line="360" w:lineRule="auto"/>
        <w:ind w:firstLine="616" w:firstLineChars="200"/>
        <w:jc w:val="both"/>
        <w:rPr>
          <w:rFonts w:hint="eastAsia"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抓好农村电子商务。要把农产品电子商务作为发展农村电子商务的重点，推动农产品的电子商务提档升级，大力发展内容电商、品质电商、社交电商、视频电商。让农产品特别是农业科技产品，要利用好电商平台，增加农民收入。实施“互联网+”农产品出村进城工程，加大力度，加快建立农产品物流交易中心和网络销售供应体系，提升运营和保障能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县农业农村局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中国电信全州分公司、中国移动全州分公司、邮政集团全州分公司、</w:t>
      </w:r>
      <w:r>
        <w:rPr>
          <w:rFonts w:hint="eastAsia" w:ascii="Times New Roman" w:hAnsi="Times New Roman" w:eastAsia="仿宋_GB2312" w:cs="宋体"/>
          <w:kern w:val="0"/>
          <w:sz w:val="32"/>
          <w:szCs w:val="32"/>
          <w:lang w:eastAsia="zh-CN"/>
        </w:rPr>
        <w:t>各乡（镇）人民政府〕</w:t>
      </w:r>
    </w:p>
    <w:p w14:paraId="67D0E8F8">
      <w:pPr>
        <w:pStyle w:val="14"/>
        <w:overflowPunct w:val="0"/>
        <w:autoSpaceDE w:val="0"/>
        <w:autoSpaceDN w:val="0"/>
        <w:adjustRightInd w:val="0"/>
        <w:snapToGrid w:val="0"/>
        <w:spacing w:line="360" w:lineRule="auto"/>
        <w:ind w:firstLine="616" w:firstLineChars="200"/>
        <w:jc w:val="both"/>
        <w:rPr>
          <w:rFonts w:hint="eastAsia"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建立利益联结机制。加强联农带农，建立多</w:t>
      </w:r>
      <w:r>
        <w:rPr>
          <w:rFonts w:hint="eastAsia" w:ascii="Times New Roman" w:hAnsi="Times New Roman" w:eastAsia="仿宋_GB2312" w:cs="宋体"/>
          <w:kern w:val="0"/>
          <w:sz w:val="32"/>
          <w:szCs w:val="30"/>
        </w:rPr>
        <w:t>种形式的利益联结机制，积极发展契约型、分红型、股权型合作模式，形成龙头企业牵头、新型经</w:t>
      </w:r>
      <w:r>
        <w:rPr>
          <w:rFonts w:hint="eastAsia" w:ascii="Times New Roman" w:hAnsi="Times New Roman" w:eastAsia="仿宋_GB2312" w:cs="宋体"/>
          <w:kern w:val="0"/>
          <w:sz w:val="32"/>
          <w:szCs w:val="32"/>
        </w:rPr>
        <w:t>营主体跟进、广大小农户参与的农业产业化联合体，让农民分享更多产业链条增值收益。有序推进土地经营权入股农业产业化经营。</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3D408E68">
      <w:pPr>
        <w:pStyle w:val="14"/>
        <w:overflowPunct w:val="0"/>
        <w:autoSpaceDE w:val="0"/>
        <w:autoSpaceDN w:val="0"/>
        <w:adjustRightInd w:val="0"/>
        <w:snapToGrid w:val="0"/>
        <w:spacing w:line="360" w:lineRule="auto"/>
        <w:ind w:firstLine="616" w:firstLineChars="200"/>
        <w:jc w:val="both"/>
        <w:rPr>
          <w:rFonts w:hint="eastAsia"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rPr>
        <w:t>促进村级集体经济发展。深化农村集体产权制度改革，发展新型农村集体经济</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制定和落实壮大村级集体</w:t>
      </w:r>
      <w:r>
        <w:rPr>
          <w:rFonts w:hint="eastAsia" w:ascii="Times New Roman" w:hAnsi="Times New Roman" w:eastAsia="仿宋_GB2312" w:cs="宋体"/>
          <w:kern w:val="0"/>
          <w:sz w:val="32"/>
          <w:szCs w:val="30"/>
        </w:rPr>
        <w:t>经济相关政策措施，鼓励社会资本参与村集体经济建设，支持集体经济组织利用集体资源，集中开发或者引进社会资本进行合作，进行“一村一品”、“一镇一业”整体开发。支持集体经济组织以多种方式盘活闲置房产设施、集体建设用地，增加集体收入。鼓励支持集体经济组织创办农村服务实体，发展农村服务业。建立健全集体经济组织管理制度</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sz w:val="32"/>
          <w:szCs w:val="30"/>
        </w:rPr>
        <w:t>保障进城落户农民土</w:t>
      </w:r>
      <w:r>
        <w:rPr>
          <w:rFonts w:hint="eastAsia" w:ascii="Times New Roman" w:hAnsi="Times New Roman" w:eastAsia="仿宋_GB2312" w:cs="宋体"/>
          <w:kern w:val="0"/>
          <w:sz w:val="32"/>
          <w:szCs w:val="32"/>
        </w:rPr>
        <w:t>地承包权、宅基地使用权、集体收益分配权，鼓励依法自愿有偿转让。</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县自然资源局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县住房城乡建设局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3AB3F0E7">
      <w:pPr>
        <w:pStyle w:val="14"/>
        <w:overflowPunct w:val="0"/>
        <w:autoSpaceDE w:val="0"/>
        <w:autoSpaceDN w:val="0"/>
        <w:adjustRightInd w:val="0"/>
        <w:snapToGrid w:val="0"/>
        <w:spacing w:line="360" w:lineRule="auto"/>
        <w:ind w:firstLine="616" w:firstLineChars="200"/>
        <w:jc w:val="both"/>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加强农产品安全。积极推进农产品全程质量监控。加强市场准出和准入等环节的监管，逐步建立从田头到市场的农产品质量监管体系，切实履行动物及动物产品检疫监管职责，抓好动物疫病防控和畜禽水产品质量安全监管。注重加强农产品加工流通环节、品质溯源系统、检验检测系统和物流配送系统等基础设施建设，提高农产品加工流通和质量检测能力。切实保障粮食安全，实施粮食种植、收储、加工、品牌、销售等全产业链打造工程，充分发挥桂北粮食仓储物流中心辐射带动作用，擦亮桂北粮仓品牌。</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县市场监管局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466D5B83">
      <w:pPr>
        <w:pStyle w:val="14"/>
        <w:overflowPunct w:val="0"/>
        <w:autoSpaceDE w:val="0"/>
        <w:autoSpaceDN w:val="0"/>
        <w:adjustRightInd w:val="0"/>
        <w:snapToGrid w:val="0"/>
        <w:spacing w:line="360" w:lineRule="auto"/>
        <w:jc w:val="center"/>
        <w:rPr>
          <w:rStyle w:val="20"/>
          <w:rFonts w:ascii="Times New Roman" w:hAnsi="Times New Roman" w:cs="宋体"/>
          <w:b/>
          <w:sz w:val="21"/>
          <w:szCs w:val="21"/>
        </w:rPr>
      </w:pPr>
      <w:bookmarkStart w:id="15" w:name="_Toc9579"/>
      <w:bookmarkStart w:id="16" w:name="_Toc13089"/>
    </w:p>
    <w:p w14:paraId="6739B9E1">
      <w:pPr>
        <w:pStyle w:val="14"/>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color w:val="333333"/>
          <w:spacing w:val="5"/>
          <w:sz w:val="32"/>
          <w:szCs w:val="32"/>
          <w:shd w:val="clear" w:color="auto" w:fill="FFFFFF"/>
        </w:rPr>
      </w:pPr>
      <w:r>
        <w:rPr>
          <w:rStyle w:val="20"/>
          <w:rFonts w:hint="eastAsia" w:ascii="Times New Roman" w:hAnsi="Times New Roman" w:eastAsia="楷体_GB2312" w:cs="楷体_GB2312"/>
          <w:b w:val="0"/>
          <w:bCs/>
          <w:sz w:val="32"/>
          <w:szCs w:val="32"/>
        </w:rPr>
        <w:t>第六节  大力培育农业品牌</w:t>
      </w:r>
      <w:bookmarkEnd w:id="15"/>
      <w:bookmarkEnd w:id="16"/>
    </w:p>
    <w:p w14:paraId="3543CEE5">
      <w:pPr>
        <w:pStyle w:val="14"/>
        <w:overflowPunct w:val="0"/>
        <w:autoSpaceDE w:val="0"/>
        <w:autoSpaceDN w:val="0"/>
        <w:adjustRightInd w:val="0"/>
        <w:snapToGrid w:val="0"/>
        <w:spacing w:line="360" w:lineRule="auto"/>
        <w:ind w:firstLine="396" w:firstLineChars="200"/>
        <w:jc w:val="both"/>
        <w:rPr>
          <w:rFonts w:ascii="Times New Roman" w:hAnsi="Times New Roman" w:eastAsia="仿宋_GB2312" w:cs="宋体"/>
          <w:b/>
          <w:bCs/>
          <w:sz w:val="21"/>
          <w:szCs w:val="21"/>
        </w:rPr>
      </w:pPr>
    </w:p>
    <w:p w14:paraId="66C5805C">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积极申报国家地理标志保护产品。注重区域公用品牌和地理标识建设，加大“三品一标”认证支持力度，系统打造全县地理标志产品。发挥产业资源优势，结合地域特点，以市场为导向，以科技为依托，积极开展地理标志产品保护申报工作，将全州干米粉、全州紫皮大蒜、全州枧塘香瓜、全州金槐茶、全州安和香芋、全州五香豆腐、全州魔芋豆腐等列入地理标志产品保护申报对象，加大对地理标志保护产品工作的培育、申报和指导，提高全州特色农产品知名度和品牌价值，促进产业发展，农业增效和农民增收。</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县农业农村局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县工业和信息化局、县科技局</w:t>
      </w:r>
      <w:r>
        <w:rPr>
          <w:rFonts w:ascii="Times New Roman" w:hAnsi="Times New Roman" w:eastAsia="仿宋_GB2312" w:cs="宋体"/>
          <w:kern w:val="0"/>
          <w:sz w:val="32"/>
          <w:szCs w:val="32"/>
          <w:lang w:val="en-US" w:eastAsia="zh-CN" w:bidi="ar-SA"/>
        </w:rPr>
        <w:t>）</w:t>
      </w:r>
    </w:p>
    <w:p w14:paraId="04346FC3">
      <w:pPr>
        <w:pStyle w:val="14"/>
        <w:overflowPunct w:val="0"/>
        <w:autoSpaceDE w:val="0"/>
        <w:autoSpaceDN w:val="0"/>
        <w:adjustRightInd w:val="0"/>
        <w:snapToGrid w:val="0"/>
        <w:spacing w:line="360" w:lineRule="auto"/>
        <w:ind w:firstLine="616" w:firstLineChars="200"/>
        <w:jc w:val="both"/>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lang w:val="en-US" w:eastAsia="zh-CN" w:bidi="ar-SA"/>
        </w:rPr>
        <w:t>提升农业区域公用品牌。以地理标志农产品为核心，实施农产品质量安全追溯管理，加强责任主体逆向溯源、产品流向正向追踪，积极与自治区农产品质量安全追溯平台对接、信息</w:t>
      </w:r>
      <w:r>
        <w:rPr>
          <w:rFonts w:hint="eastAsia" w:ascii="Times New Roman" w:hAnsi="Times New Roman" w:eastAsia="仿宋_GB2312" w:cs="宋体"/>
          <w:sz w:val="32"/>
          <w:szCs w:val="30"/>
        </w:rPr>
        <w:t>共享。加大对区域公用品牌营销推介，继续扩大全州湘山酒、桂林腐竹、全州文桥鸭、全州东山猪、全州禾花鱼</w:t>
      </w:r>
      <w:r>
        <w:rPr>
          <w:rFonts w:hint="eastAsia" w:ascii="Times New Roman" w:hAnsi="Times New Roman" w:eastAsia="仿宋_GB2312" w:cs="宋体"/>
          <w:color w:val="000000" w:themeColor="text1"/>
          <w:sz w:val="32"/>
          <w:szCs w:val="30"/>
        </w:rPr>
        <w:t>、安和香芋</w:t>
      </w:r>
      <w:r>
        <w:rPr>
          <w:rFonts w:hint="eastAsia" w:ascii="Times New Roman" w:hAnsi="Times New Roman" w:eastAsia="仿宋_GB2312" w:cs="宋体"/>
          <w:sz w:val="32"/>
          <w:szCs w:val="30"/>
        </w:rPr>
        <w:t>等区域公用品牌的影响力和带动力。开发和培育全州红油米粉、全州沃柑、全州蜜梨、全州魔芋豆腐、全州五香豆腐、桂北腊肠等新的区域品牌</w:t>
      </w:r>
      <w:r>
        <w:rPr>
          <w:rFonts w:hint="eastAsia" w:ascii="Times New Roman" w:hAnsi="Times New Roman" w:eastAsia="仿宋_GB2312" w:cs="宋体"/>
          <w:kern w:val="0"/>
          <w:sz w:val="32"/>
          <w:szCs w:val="32"/>
          <w:lang w:val="en-US" w:eastAsia="zh-CN" w:bidi="ar-SA"/>
        </w:rPr>
        <w:t>。加快制定金槐生产种植、禾花鱼养殖、米粉加工等地方或国家标准，创响全国“全州制造”品牌，着力将全州打造成为大湾区健康食品供应基地。</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县农业农村局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县科技局、县发展改革局、县工业和信息化局、</w:t>
      </w:r>
      <w:r>
        <w:rPr>
          <w:rFonts w:hint="eastAsia" w:ascii="Times New Roman" w:hAnsi="Times New Roman" w:eastAsia="仿宋_GB2312" w:cs="宋体"/>
          <w:kern w:val="0"/>
          <w:sz w:val="32"/>
          <w:szCs w:val="32"/>
          <w:lang w:eastAsia="zh-CN"/>
        </w:rPr>
        <w:t>各乡（镇）人民政府〕</w:t>
      </w:r>
    </w:p>
    <w:p w14:paraId="53001D4E">
      <w:pPr>
        <w:pStyle w:val="14"/>
        <w:overflowPunct w:val="0"/>
        <w:autoSpaceDE w:val="0"/>
        <w:autoSpaceDN w:val="0"/>
        <w:adjustRightInd w:val="0"/>
        <w:snapToGrid w:val="0"/>
        <w:spacing w:line="360" w:lineRule="auto"/>
        <w:ind w:firstLine="616" w:firstLineChars="200"/>
        <w:jc w:val="both"/>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lang w:val="en-US" w:eastAsia="zh-CN" w:bidi="ar-SA"/>
        </w:rPr>
        <w:t>培育企业品牌。成立全州农业品牌培育工作领导小组，建立全州农业品牌目录制度，拟定品牌发展计划。提高经营主体品牌意识，开展农业品牌建设培训行动，引导农业产业化龙头企业、农民合作社、家庭农场等新型经营主体将经营理念、企业文化和价值观念等注入品牌。鼓励经营主体注册商标，对获得市级以上知名商标和著名品牌的给予奖励。鼓励支持企业在县内外城市或网络平台建立农业品牌展销中心，组织知名农业品牌整体打包进入，打造全州农业品牌旗舰店。支持农业品牌规划、培育、营销、宣传和标准化生产基地建设；鼓励金融机构向新型农业经营主体提供以品牌为基础的商标权、专利权等质押贷款。</w:t>
      </w:r>
      <w:bookmarkEnd w:id="5"/>
      <w:bookmarkStart w:id="17" w:name="_Toc22724"/>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县农业农村局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县科技局、县发展改革局、县工业和信息化局、</w:t>
      </w:r>
      <w:r>
        <w:rPr>
          <w:rFonts w:hint="eastAsia" w:ascii="Times New Roman" w:hAnsi="Times New Roman" w:eastAsia="仿宋_GB2312" w:cs="宋体"/>
          <w:kern w:val="0"/>
          <w:sz w:val="32"/>
          <w:szCs w:val="32"/>
          <w:lang w:eastAsia="zh-CN"/>
        </w:rPr>
        <w:t>各乡（镇）人民政府〕</w:t>
      </w:r>
    </w:p>
    <w:p w14:paraId="0B10BAC1">
      <w:pPr>
        <w:rPr>
          <w:rStyle w:val="20"/>
          <w:rFonts w:ascii="Times New Roman" w:hAnsi="Times New Roman" w:eastAsia="黑体" w:cs="宋体"/>
          <w:b w:val="0"/>
          <w:bCs/>
          <w:kern w:val="0"/>
          <w:sz w:val="32"/>
          <w:szCs w:val="32"/>
        </w:rPr>
      </w:pPr>
      <w:bookmarkStart w:id="18" w:name="_Toc18682"/>
    </w:p>
    <w:p w14:paraId="0DFE5053">
      <w:pPr>
        <w:overflowPunct w:val="0"/>
        <w:autoSpaceDE w:val="0"/>
        <w:autoSpaceDN w:val="0"/>
        <w:adjustRightInd w:val="0"/>
        <w:snapToGrid w:val="0"/>
        <w:spacing w:line="360" w:lineRule="auto"/>
        <w:jc w:val="center"/>
        <w:outlineLvl w:val="0"/>
        <w:rPr>
          <w:rStyle w:val="20"/>
          <w:rFonts w:ascii="Times New Roman" w:hAnsi="Times New Roman" w:eastAsia="黑体" w:cs="宋体"/>
          <w:b w:val="0"/>
          <w:bCs/>
          <w:kern w:val="0"/>
          <w:sz w:val="32"/>
          <w:szCs w:val="32"/>
        </w:rPr>
      </w:pPr>
      <w:r>
        <w:rPr>
          <w:rStyle w:val="20"/>
          <w:rFonts w:hint="eastAsia" w:ascii="Times New Roman" w:hAnsi="Times New Roman" w:eastAsia="黑体" w:cs="宋体"/>
          <w:b w:val="0"/>
          <w:bCs/>
          <w:kern w:val="0"/>
          <w:sz w:val="32"/>
          <w:szCs w:val="32"/>
        </w:rPr>
        <w:t>四、升级工业发展体系  实施工业</w:t>
      </w:r>
      <w:bookmarkEnd w:id="17"/>
      <w:r>
        <w:rPr>
          <w:rStyle w:val="20"/>
          <w:rFonts w:hint="eastAsia" w:ascii="Times New Roman" w:hAnsi="Times New Roman" w:eastAsia="黑体" w:cs="宋体"/>
          <w:b w:val="0"/>
          <w:bCs/>
          <w:kern w:val="0"/>
          <w:sz w:val="32"/>
          <w:szCs w:val="32"/>
        </w:rPr>
        <w:t>振兴战略</w:t>
      </w:r>
      <w:bookmarkEnd w:id="18"/>
    </w:p>
    <w:p w14:paraId="626C8755">
      <w:pPr>
        <w:overflowPunct w:val="0"/>
        <w:autoSpaceDE w:val="0"/>
        <w:autoSpaceDN w:val="0"/>
        <w:adjustRightInd w:val="0"/>
        <w:snapToGrid w:val="0"/>
        <w:spacing w:line="360" w:lineRule="auto"/>
        <w:rPr>
          <w:rFonts w:ascii="Times New Roman" w:hAnsi="Times New Roman"/>
        </w:rPr>
      </w:pPr>
      <w:bookmarkStart w:id="19" w:name="_Toc20808"/>
    </w:p>
    <w:p w14:paraId="12A0E22E">
      <w:pPr>
        <w:pStyle w:val="14"/>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sz w:val="32"/>
          <w:szCs w:val="32"/>
        </w:rPr>
      </w:pPr>
      <w:bookmarkStart w:id="20" w:name="_Toc564"/>
      <w:r>
        <w:rPr>
          <w:rStyle w:val="20"/>
          <w:rFonts w:hint="eastAsia" w:ascii="Times New Roman" w:hAnsi="Times New Roman" w:eastAsia="楷体_GB2312" w:cs="楷体_GB2312"/>
          <w:b w:val="0"/>
          <w:bCs/>
          <w:sz w:val="32"/>
          <w:szCs w:val="32"/>
        </w:rPr>
        <w:t>第一节  完善园区发展体系</w:t>
      </w:r>
      <w:bookmarkEnd w:id="19"/>
      <w:bookmarkEnd w:id="20"/>
    </w:p>
    <w:p w14:paraId="7EB1D03D">
      <w:pPr>
        <w:pStyle w:val="14"/>
        <w:overflowPunct w:val="0"/>
        <w:autoSpaceDE w:val="0"/>
        <w:autoSpaceDN w:val="0"/>
        <w:adjustRightInd w:val="0"/>
        <w:snapToGrid w:val="0"/>
        <w:spacing w:line="360" w:lineRule="auto"/>
        <w:ind w:firstLine="396" w:firstLineChars="200"/>
        <w:jc w:val="both"/>
        <w:rPr>
          <w:rFonts w:ascii="Times New Roman" w:hAnsi="Times New Roman" w:eastAsia="仿宋_GB2312" w:cs="宋体"/>
          <w:sz w:val="21"/>
          <w:szCs w:val="21"/>
        </w:rPr>
      </w:pPr>
    </w:p>
    <w:p w14:paraId="0CD5307B">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推动园区传统产业转型高质量发展。着重对县域内现有的传统产业开展重组、整合与技术改造，促进食品加工产业、设备制造产业、新型建材产业三大优势产业的转型升级，提高园区发展质量，推动企业“二次创业”。提升土地利用率，按投入产出比，进行差异化资源配置及政策支持；提升资源循环利用率，推动前端清洁生产、后端废弃物循环利用，促进上下游企业链接，努力实现能源梯级循环利用；提升智能制造普及率，努力实现研发、生产、销售和管理全过程的互联网化，积极创建智能工厂。</w:t>
      </w:r>
      <w:r>
        <w:rPr>
          <w:rFonts w:ascii="Times New Roman" w:hAnsi="Times New Roman" w:eastAsia="仿宋_GB2312" w:cs="宋体"/>
          <w:kern w:val="0"/>
          <w:sz w:val="32"/>
          <w:szCs w:val="32"/>
          <w:lang w:val="en-US" w:eastAsia="zh-CN" w:bidi="ar-SA"/>
        </w:rPr>
        <w:t>推动传统产业高端化、智能化、绿色化，</w:t>
      </w:r>
      <w:r>
        <w:rPr>
          <w:rFonts w:hint="eastAsia" w:ascii="Times New Roman" w:hAnsi="Times New Roman" w:eastAsia="仿宋_GB2312" w:cs="宋体"/>
          <w:kern w:val="0"/>
          <w:sz w:val="32"/>
          <w:szCs w:val="32"/>
          <w:lang w:val="en-US" w:eastAsia="zh-CN" w:bidi="ar-SA"/>
        </w:rPr>
        <w:t>促进</w:t>
      </w:r>
      <w:r>
        <w:rPr>
          <w:rFonts w:ascii="Times New Roman" w:hAnsi="Times New Roman" w:eastAsia="仿宋_GB2312" w:cs="宋体"/>
          <w:kern w:val="0"/>
          <w:sz w:val="32"/>
          <w:szCs w:val="32"/>
          <w:lang w:val="en-US" w:eastAsia="zh-CN" w:bidi="ar-SA"/>
        </w:rPr>
        <w:t>全产业链优化升级，积极培育新兴产业，加快数字产业化和产业数字化。（牵头单位：</w:t>
      </w:r>
      <w:r>
        <w:rPr>
          <w:rFonts w:hint="eastAsia" w:ascii="Times New Roman" w:hAnsi="Times New Roman" w:eastAsia="仿宋_GB2312" w:cs="宋体"/>
          <w:kern w:val="0"/>
          <w:sz w:val="32"/>
          <w:szCs w:val="32"/>
          <w:lang w:val="en-US" w:eastAsia="zh-CN" w:bidi="ar-SA"/>
        </w:rPr>
        <w:t>县工业园区管委会</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县工业和信息化局、县自然资源局、县发展改革局</w:t>
      </w:r>
      <w:r>
        <w:rPr>
          <w:rFonts w:ascii="Times New Roman" w:hAnsi="Times New Roman" w:eastAsia="仿宋_GB2312" w:cs="宋体"/>
          <w:kern w:val="0"/>
          <w:sz w:val="32"/>
          <w:szCs w:val="32"/>
          <w:lang w:val="en-US" w:eastAsia="zh-CN" w:bidi="ar-SA"/>
        </w:rPr>
        <w:t>）</w:t>
      </w:r>
    </w:p>
    <w:p w14:paraId="6336BDCD">
      <w:pPr>
        <w:pStyle w:val="14"/>
        <w:overflowPunct w:val="0"/>
        <w:autoSpaceDE w:val="0"/>
        <w:autoSpaceDN w:val="0"/>
        <w:adjustRightInd w:val="0"/>
        <w:snapToGrid w:val="0"/>
        <w:spacing w:line="360" w:lineRule="auto"/>
        <w:ind w:firstLine="616" w:firstLineChars="200"/>
        <w:jc w:val="both"/>
        <w:rPr>
          <w:rFonts w:hint="eastAsia"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构建工业集聚区“5+1”格局。按照产城融合、产教融合发展思路，探索产业集聚、产链发展模式，做好顶层设计，重新规划布局工业园区，建设综合生态工业园区和承接产业转移示范基地。</w:t>
      </w:r>
      <w:r>
        <w:rPr>
          <w:rFonts w:ascii="Times New Roman" w:hAnsi="Times New Roman" w:eastAsia="仿宋_GB2312" w:cs="宋体"/>
          <w:kern w:val="0"/>
          <w:sz w:val="32"/>
          <w:szCs w:val="32"/>
          <w:lang w:val="en-US" w:eastAsia="zh-CN" w:bidi="ar-SA"/>
        </w:rPr>
        <w:t>加快推</w:t>
      </w:r>
      <w:r>
        <w:rPr>
          <w:rFonts w:hint="eastAsia" w:ascii="Times New Roman" w:hAnsi="Times New Roman" w:eastAsia="仿宋_GB2312" w:cs="宋体"/>
          <w:kern w:val="0"/>
          <w:sz w:val="32"/>
          <w:szCs w:val="32"/>
          <w:lang w:val="en-US" w:eastAsia="zh-CN" w:bidi="ar-SA"/>
        </w:rPr>
        <w:t>进</w:t>
      </w:r>
      <w:r>
        <w:rPr>
          <w:rFonts w:ascii="Times New Roman" w:hAnsi="Times New Roman" w:eastAsia="仿宋_GB2312" w:cs="宋体"/>
          <w:kern w:val="0"/>
          <w:sz w:val="32"/>
          <w:szCs w:val="32"/>
          <w:lang w:val="en-US" w:eastAsia="zh-CN" w:bidi="ar-SA"/>
        </w:rPr>
        <w:t>桂北</w:t>
      </w:r>
      <w:r>
        <w:rPr>
          <w:rFonts w:hint="eastAsia" w:ascii="Times New Roman" w:hAnsi="Times New Roman" w:eastAsia="仿宋_GB2312" w:cs="宋体"/>
          <w:kern w:val="0"/>
          <w:sz w:val="32"/>
          <w:szCs w:val="32"/>
          <w:lang w:val="en-US" w:eastAsia="zh-CN" w:bidi="ar-SA"/>
        </w:rPr>
        <w:t>国际</w:t>
      </w:r>
      <w:r>
        <w:rPr>
          <w:rFonts w:ascii="Times New Roman" w:hAnsi="Times New Roman" w:eastAsia="仿宋_GB2312" w:cs="宋体"/>
          <w:kern w:val="0"/>
          <w:sz w:val="32"/>
          <w:szCs w:val="32"/>
          <w:lang w:val="en-US" w:eastAsia="zh-CN" w:bidi="ar-SA"/>
        </w:rPr>
        <w:t>高新科技产业城建设，</w:t>
      </w:r>
      <w:r>
        <w:rPr>
          <w:rFonts w:hint="eastAsia" w:ascii="Times New Roman" w:hAnsi="Times New Roman" w:eastAsia="仿宋_GB2312" w:cs="宋体"/>
          <w:kern w:val="0"/>
          <w:sz w:val="32"/>
          <w:szCs w:val="32"/>
          <w:lang w:val="en-US" w:eastAsia="zh-CN" w:bidi="ar-SA"/>
        </w:rPr>
        <w:t>带动才湾米粉小镇食品加工</w:t>
      </w:r>
      <w:r>
        <w:rPr>
          <w:rFonts w:ascii="Times New Roman" w:hAnsi="Times New Roman" w:eastAsia="仿宋_GB2312" w:cs="宋体"/>
          <w:kern w:val="0"/>
          <w:sz w:val="32"/>
          <w:szCs w:val="32"/>
          <w:lang w:val="en-US" w:eastAsia="zh-CN" w:bidi="ar-SA"/>
        </w:rPr>
        <w:t>、装备制造</w:t>
      </w:r>
      <w:r>
        <w:rPr>
          <w:rFonts w:hint="eastAsia" w:ascii="Times New Roman" w:hAnsi="Times New Roman" w:eastAsia="仿宋_GB2312" w:cs="宋体"/>
          <w:kern w:val="0"/>
          <w:sz w:val="32"/>
          <w:szCs w:val="32"/>
          <w:lang w:val="en-US" w:eastAsia="zh-CN" w:bidi="ar-SA"/>
        </w:rPr>
        <w:t>及综合性精深加工</w:t>
      </w:r>
      <w:r>
        <w:rPr>
          <w:rFonts w:ascii="Times New Roman" w:hAnsi="Times New Roman" w:eastAsia="仿宋_GB2312" w:cs="宋体"/>
          <w:kern w:val="0"/>
          <w:sz w:val="32"/>
          <w:szCs w:val="32"/>
          <w:lang w:val="en-US" w:eastAsia="zh-CN" w:bidi="ar-SA"/>
        </w:rPr>
        <w:t>、</w:t>
      </w:r>
      <w:r>
        <w:rPr>
          <w:rFonts w:hint="eastAsia" w:ascii="Times New Roman" w:hAnsi="Times New Roman" w:eastAsia="仿宋_GB2312" w:cs="宋体"/>
          <w:kern w:val="0"/>
          <w:sz w:val="32"/>
          <w:szCs w:val="32"/>
          <w:lang w:val="en-US" w:eastAsia="zh-CN" w:bidi="ar-SA"/>
        </w:rPr>
        <w:t>绿色</w:t>
      </w:r>
      <w:r>
        <w:rPr>
          <w:rFonts w:ascii="Times New Roman" w:hAnsi="Times New Roman" w:eastAsia="仿宋_GB2312" w:cs="宋体"/>
          <w:kern w:val="0"/>
          <w:sz w:val="32"/>
          <w:szCs w:val="32"/>
          <w:lang w:val="en-US" w:eastAsia="zh-CN" w:bidi="ar-SA"/>
        </w:rPr>
        <w:t>化工</w:t>
      </w:r>
      <w:r>
        <w:rPr>
          <w:rFonts w:hint="eastAsia" w:ascii="Times New Roman" w:hAnsi="Times New Roman" w:eastAsia="仿宋_GB2312" w:cs="宋体"/>
          <w:kern w:val="0"/>
          <w:sz w:val="32"/>
          <w:szCs w:val="32"/>
          <w:lang w:val="en-US" w:eastAsia="zh-CN" w:bidi="ar-SA"/>
        </w:rPr>
        <w:t>新材料、</w:t>
      </w:r>
      <w:r>
        <w:rPr>
          <w:rFonts w:ascii="Times New Roman" w:hAnsi="Times New Roman" w:eastAsia="仿宋_GB2312" w:cs="宋体"/>
          <w:kern w:val="0"/>
          <w:sz w:val="32"/>
          <w:szCs w:val="32"/>
          <w:lang w:val="en-US" w:eastAsia="zh-CN" w:bidi="ar-SA"/>
        </w:rPr>
        <w:t>现代石材和</w:t>
      </w:r>
      <w:r>
        <w:rPr>
          <w:rFonts w:hint="eastAsia" w:ascii="Times New Roman" w:hAnsi="Times New Roman" w:eastAsia="仿宋_GB2312" w:cs="宋体"/>
          <w:kern w:val="0"/>
          <w:sz w:val="32"/>
          <w:szCs w:val="32"/>
          <w:lang w:val="en-US" w:eastAsia="zh-CN" w:bidi="ar-SA"/>
        </w:rPr>
        <w:t>绍水镇</w:t>
      </w:r>
      <w:r>
        <w:rPr>
          <w:rFonts w:ascii="Times New Roman" w:hAnsi="Times New Roman" w:eastAsia="仿宋_GB2312" w:cs="宋体"/>
          <w:kern w:val="0"/>
          <w:sz w:val="32"/>
          <w:szCs w:val="32"/>
          <w:lang w:val="en-US" w:eastAsia="zh-CN" w:bidi="ar-SA"/>
        </w:rPr>
        <w:t>米粉</w:t>
      </w:r>
      <w:r>
        <w:rPr>
          <w:rFonts w:hint="eastAsia" w:ascii="Times New Roman" w:hAnsi="Times New Roman" w:eastAsia="仿宋_GB2312" w:cs="宋体"/>
          <w:kern w:val="0"/>
          <w:sz w:val="32"/>
          <w:szCs w:val="32"/>
          <w:lang w:val="en-US" w:eastAsia="zh-CN" w:bidi="ar-SA"/>
        </w:rPr>
        <w:t>等5大</w:t>
      </w:r>
      <w:r>
        <w:rPr>
          <w:rFonts w:ascii="Times New Roman" w:hAnsi="Times New Roman" w:eastAsia="仿宋_GB2312" w:cs="宋体"/>
          <w:kern w:val="0"/>
          <w:sz w:val="32"/>
          <w:szCs w:val="32"/>
          <w:lang w:val="en-US" w:eastAsia="zh-CN" w:bidi="ar-SA"/>
        </w:rPr>
        <w:t>产业</w:t>
      </w:r>
      <w:r>
        <w:rPr>
          <w:rFonts w:hint="eastAsia" w:ascii="Times New Roman" w:hAnsi="Times New Roman" w:eastAsia="仿宋_GB2312" w:cs="宋体"/>
          <w:kern w:val="0"/>
          <w:sz w:val="32"/>
          <w:szCs w:val="32"/>
          <w:lang w:val="en-US" w:eastAsia="zh-CN" w:bidi="ar-SA"/>
        </w:rPr>
        <w:t>聚集区</w:t>
      </w:r>
      <w:r>
        <w:rPr>
          <w:rFonts w:ascii="Times New Roman" w:hAnsi="Times New Roman" w:eastAsia="仿宋_GB2312" w:cs="宋体"/>
          <w:kern w:val="0"/>
          <w:sz w:val="32"/>
          <w:szCs w:val="32"/>
          <w:lang w:val="en-US" w:eastAsia="zh-CN" w:bidi="ar-SA"/>
        </w:rPr>
        <w:t>建设，并根据上下游产业，在城北新区规划建设</w:t>
      </w:r>
      <w:r>
        <w:rPr>
          <w:rFonts w:hint="eastAsia" w:ascii="Times New Roman" w:hAnsi="Times New Roman" w:eastAsia="仿宋_GB2312" w:cs="宋体"/>
          <w:kern w:val="0"/>
          <w:sz w:val="32"/>
          <w:szCs w:val="32"/>
          <w:lang w:val="en-US" w:eastAsia="zh-CN" w:bidi="ar-SA"/>
        </w:rPr>
        <w:t>1</w:t>
      </w:r>
      <w:r>
        <w:rPr>
          <w:rFonts w:ascii="Times New Roman" w:hAnsi="Times New Roman" w:eastAsia="仿宋_GB2312" w:cs="宋体"/>
          <w:kern w:val="0"/>
          <w:sz w:val="32"/>
          <w:szCs w:val="32"/>
          <w:lang w:val="en-US" w:eastAsia="zh-CN" w:bidi="ar-SA"/>
        </w:rPr>
        <w:t>个中小企业聚集区，拉长产业链，促进产城融合，力争全州工业集中区</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十四五</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期间</w:t>
      </w:r>
      <w:r>
        <w:rPr>
          <w:rFonts w:hint="eastAsia" w:ascii="Times New Roman" w:hAnsi="Times New Roman" w:eastAsia="仿宋_GB2312" w:cs="宋体"/>
          <w:kern w:val="0"/>
          <w:sz w:val="32"/>
          <w:szCs w:val="32"/>
          <w:lang w:val="en-US" w:eastAsia="zh-CN" w:bidi="ar-SA"/>
        </w:rPr>
        <w:t>总</w:t>
      </w:r>
      <w:r>
        <w:rPr>
          <w:rFonts w:ascii="Times New Roman" w:hAnsi="Times New Roman" w:eastAsia="仿宋_GB2312" w:cs="宋体"/>
          <w:kern w:val="0"/>
          <w:sz w:val="32"/>
          <w:szCs w:val="32"/>
          <w:lang w:val="en-US" w:eastAsia="zh-CN" w:bidi="ar-SA"/>
        </w:rPr>
        <w:t>产值</w:t>
      </w:r>
      <w:r>
        <w:rPr>
          <w:rFonts w:hint="eastAsia" w:ascii="Times New Roman" w:hAnsi="Times New Roman" w:eastAsia="仿宋_GB2312" w:cs="宋体"/>
          <w:kern w:val="0"/>
          <w:sz w:val="32"/>
          <w:szCs w:val="32"/>
          <w:lang w:val="en-US" w:eastAsia="zh-CN" w:bidi="ar-SA"/>
        </w:rPr>
        <w:t>突破</w:t>
      </w:r>
      <w:r>
        <w:rPr>
          <w:rFonts w:ascii="Times New Roman" w:hAnsi="Times New Roman" w:eastAsia="仿宋_GB2312" w:cs="宋体"/>
          <w:kern w:val="0"/>
          <w:sz w:val="32"/>
          <w:szCs w:val="32"/>
          <w:lang w:val="en-US" w:eastAsia="zh-CN" w:bidi="ar-SA"/>
        </w:rPr>
        <w:t>200亿元。</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县工业园区管委会</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县工业和信息化局、县自然资源局、县发展改革局、县城北新区管委会、</w:t>
      </w:r>
      <w:r>
        <w:rPr>
          <w:rFonts w:hint="eastAsia" w:ascii="Times New Roman" w:hAnsi="Times New Roman" w:eastAsia="仿宋_GB2312" w:cs="宋体"/>
          <w:kern w:val="0"/>
          <w:sz w:val="32"/>
          <w:szCs w:val="32"/>
          <w:lang w:eastAsia="zh-CN"/>
        </w:rPr>
        <w:t>各乡（镇）人民政府〕</w:t>
      </w:r>
    </w:p>
    <w:p w14:paraId="715C9D42">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加快推进园区产业体系建设。优化产业布局，进一步明确园区产业定位，做强工业园区，重点以绿色化工新材料、高端装备制造、食品产业加工、轻工纺织、生物医药、石材加工等为主导产业，鼓励引导产业链相关企业向园区集聚，推动形成布局合理各点支撑的工业发展新格局。继续加快发展“西特、南新”的</w:t>
      </w:r>
      <w:r>
        <w:rPr>
          <w:rFonts w:hint="eastAsia" w:ascii="Times New Roman" w:hAnsi="Times New Roman" w:eastAsia="仿宋_GB2312" w:cs="宋体"/>
          <w:color w:val="auto"/>
          <w:kern w:val="0"/>
          <w:sz w:val="32"/>
          <w:szCs w:val="32"/>
          <w:lang w:val="en-US" w:eastAsia="zh-CN" w:bidi="ar-SA"/>
        </w:rPr>
        <w:t>产业布局，在现有“一区多园”基础上，创新和落实飞地经济等政策，加快福坪工业集中区、</w:t>
      </w:r>
      <w:r>
        <w:rPr>
          <w:rFonts w:ascii="Times New Roman" w:hAnsi="Times New Roman" w:eastAsia="仿宋_GB2312" w:cs="宋体"/>
          <w:color w:val="auto"/>
          <w:kern w:val="0"/>
          <w:sz w:val="32"/>
          <w:szCs w:val="32"/>
          <w:lang w:val="en-US" w:eastAsia="zh-CN" w:bidi="ar-SA"/>
        </w:rPr>
        <w:t>城南工业集中区</w:t>
      </w:r>
      <w:r>
        <w:rPr>
          <w:rFonts w:hint="eastAsia" w:ascii="Times New Roman" w:hAnsi="Times New Roman" w:eastAsia="仿宋_GB2312" w:cs="宋体"/>
          <w:color w:val="auto"/>
          <w:kern w:val="0"/>
          <w:sz w:val="32"/>
          <w:szCs w:val="32"/>
          <w:lang w:val="en-US" w:eastAsia="zh-CN" w:bidi="ar-SA"/>
        </w:rPr>
        <w:t>、</w:t>
      </w:r>
      <w:r>
        <w:rPr>
          <w:rFonts w:ascii="Times New Roman" w:hAnsi="Times New Roman" w:eastAsia="仿宋_GB2312" w:cs="宋体"/>
          <w:color w:val="auto"/>
          <w:kern w:val="0"/>
          <w:sz w:val="32"/>
          <w:szCs w:val="32"/>
          <w:lang w:val="en-US" w:eastAsia="zh-CN" w:bidi="ar-SA"/>
        </w:rPr>
        <w:t>湘桂泛林产工业园区</w:t>
      </w:r>
      <w:r>
        <w:rPr>
          <w:rFonts w:hint="eastAsia" w:ascii="Times New Roman" w:hAnsi="Times New Roman" w:eastAsia="仿宋_GB2312" w:cs="宋体"/>
          <w:color w:val="auto"/>
          <w:kern w:val="0"/>
          <w:sz w:val="32"/>
          <w:szCs w:val="32"/>
          <w:lang w:val="en-US" w:eastAsia="zh-CN" w:bidi="ar-SA"/>
        </w:rPr>
        <w:t>、凤凰音响之都产业园等建设，鼓励机械制造、酿酒、食品加工等传统企业技改投</w:t>
      </w:r>
      <w:r>
        <w:rPr>
          <w:rFonts w:hint="eastAsia" w:ascii="Times New Roman" w:hAnsi="Times New Roman" w:eastAsia="仿宋_GB2312" w:cs="宋体"/>
          <w:kern w:val="0"/>
          <w:sz w:val="32"/>
          <w:szCs w:val="32"/>
          <w:lang w:val="en-US" w:eastAsia="zh-CN" w:bidi="ar-SA"/>
        </w:rPr>
        <w:t>资，培育壮大智能制造、新能源、生物制药、电子科技、数字化等五大新兴产业，积极引导企业退城进区聚集发展，发展壮大特色生态工业。招商重点放在金槐、健康食品深加工等产业链高端和缺失环节上，谋划好以金槐为核心的产业链项目，打造金槐产业集聚区。</w:t>
      </w:r>
      <w:r>
        <w:rPr>
          <w:rFonts w:ascii="Times New Roman" w:hAnsi="Times New Roman" w:eastAsia="仿宋_GB2312" w:cs="宋体"/>
          <w:kern w:val="0"/>
          <w:sz w:val="32"/>
          <w:szCs w:val="32"/>
          <w:lang w:val="en-US" w:eastAsia="zh-CN" w:bidi="ar-SA"/>
        </w:rPr>
        <w:t>城南工业集中区</w:t>
      </w:r>
      <w:r>
        <w:rPr>
          <w:rFonts w:hint="eastAsia" w:ascii="Times New Roman" w:hAnsi="Times New Roman" w:eastAsia="仿宋_GB2312" w:cs="宋体"/>
          <w:kern w:val="0"/>
          <w:sz w:val="32"/>
          <w:szCs w:val="32"/>
          <w:lang w:val="en-US" w:eastAsia="zh-CN" w:bidi="ar-SA"/>
        </w:rPr>
        <w:t>加快建成</w:t>
      </w:r>
      <w:r>
        <w:rPr>
          <w:rFonts w:ascii="Times New Roman" w:hAnsi="Times New Roman" w:eastAsia="仿宋_GB2312" w:cs="宋体"/>
          <w:kern w:val="0"/>
          <w:sz w:val="32"/>
          <w:szCs w:val="32"/>
          <w:lang w:val="en-US" w:eastAsia="zh-CN" w:bidi="ar-SA"/>
        </w:rPr>
        <w:t>以生物制药、电子产品、高新技术产业</w:t>
      </w:r>
      <w:r>
        <w:rPr>
          <w:rFonts w:hint="eastAsia" w:ascii="Times New Roman" w:hAnsi="Times New Roman" w:eastAsia="仿宋_GB2312" w:cs="宋体"/>
          <w:kern w:val="0"/>
          <w:sz w:val="32"/>
          <w:szCs w:val="32"/>
          <w:lang w:val="en-US" w:eastAsia="zh-CN" w:bidi="ar-SA"/>
        </w:rPr>
        <w:t>、5G数字化产业</w:t>
      </w:r>
      <w:r>
        <w:rPr>
          <w:rFonts w:ascii="Times New Roman" w:hAnsi="Times New Roman" w:eastAsia="仿宋_GB2312" w:cs="宋体"/>
          <w:kern w:val="0"/>
          <w:sz w:val="32"/>
          <w:szCs w:val="32"/>
          <w:lang w:val="en-US" w:eastAsia="zh-CN" w:bidi="ar-SA"/>
        </w:rPr>
        <w:t>等为主的新兴产业集中区</w:t>
      </w:r>
      <w:r>
        <w:rPr>
          <w:rFonts w:hint="eastAsia" w:ascii="Times New Roman" w:hAnsi="Times New Roman" w:eastAsia="仿宋_GB2312" w:cs="宋体"/>
          <w:kern w:val="0"/>
          <w:sz w:val="32"/>
          <w:szCs w:val="32"/>
          <w:lang w:val="en-US" w:eastAsia="zh-CN" w:bidi="ar-SA"/>
        </w:rPr>
        <w:t>，持续</w:t>
      </w:r>
      <w:r>
        <w:rPr>
          <w:rFonts w:ascii="Times New Roman" w:hAnsi="Times New Roman" w:eastAsia="仿宋_GB2312" w:cs="宋体"/>
          <w:kern w:val="0"/>
          <w:sz w:val="32"/>
          <w:szCs w:val="32"/>
          <w:lang w:val="en-US" w:eastAsia="zh-CN" w:bidi="ar-SA"/>
        </w:rPr>
        <w:t>完善</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城南工业园区内铁合金产业基地</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建设</w:t>
      </w:r>
      <w:r>
        <w:rPr>
          <w:rFonts w:hint="eastAsia" w:ascii="Times New Roman" w:hAnsi="Times New Roman" w:eastAsia="仿宋_GB2312" w:cs="宋体"/>
          <w:kern w:val="0"/>
          <w:sz w:val="32"/>
          <w:szCs w:val="32"/>
          <w:lang w:val="en-US" w:eastAsia="zh-CN" w:bidi="ar-SA"/>
        </w:rPr>
        <w:t>，加快推进铁合金产业升级换代。</w:t>
      </w:r>
      <w:r>
        <w:rPr>
          <w:rFonts w:ascii="Times New Roman" w:hAnsi="Times New Roman" w:eastAsia="仿宋_GB2312" w:cs="宋体"/>
          <w:kern w:val="0"/>
          <w:sz w:val="32"/>
          <w:szCs w:val="32"/>
          <w:lang w:val="en-US" w:eastAsia="zh-CN" w:bidi="ar-SA"/>
        </w:rPr>
        <w:t>福坪工业集中区</w:t>
      </w:r>
      <w:r>
        <w:rPr>
          <w:rFonts w:hint="eastAsia" w:ascii="Times New Roman" w:hAnsi="Times New Roman" w:eastAsia="仿宋_GB2312" w:cs="宋体"/>
          <w:kern w:val="0"/>
          <w:sz w:val="32"/>
          <w:szCs w:val="32"/>
          <w:lang w:val="en-US" w:eastAsia="zh-CN" w:bidi="ar-SA"/>
        </w:rPr>
        <w:t>加快</w:t>
      </w:r>
      <w:r>
        <w:rPr>
          <w:rFonts w:ascii="Times New Roman" w:hAnsi="Times New Roman" w:eastAsia="仿宋_GB2312" w:cs="宋体"/>
          <w:kern w:val="0"/>
          <w:sz w:val="32"/>
          <w:szCs w:val="32"/>
          <w:lang w:val="en-US" w:eastAsia="zh-CN" w:bidi="ar-SA"/>
        </w:rPr>
        <w:t>形成以食品加工和农产品加工为主，</w:t>
      </w:r>
      <w:r>
        <w:rPr>
          <w:rFonts w:hint="eastAsia" w:ascii="Times New Roman" w:hAnsi="Times New Roman" w:eastAsia="仿宋_GB2312" w:cs="宋体"/>
          <w:kern w:val="0"/>
          <w:sz w:val="32"/>
          <w:szCs w:val="32"/>
          <w:lang w:val="en-US" w:eastAsia="zh-CN" w:bidi="ar-SA"/>
        </w:rPr>
        <w:t>装备</w:t>
      </w:r>
      <w:r>
        <w:rPr>
          <w:rFonts w:ascii="Times New Roman" w:hAnsi="Times New Roman" w:eastAsia="仿宋_GB2312" w:cs="宋体"/>
          <w:kern w:val="0"/>
          <w:sz w:val="32"/>
          <w:szCs w:val="32"/>
          <w:lang w:val="en-US" w:eastAsia="zh-CN" w:bidi="ar-SA"/>
        </w:rPr>
        <w:t>制造及加工、轻</w:t>
      </w:r>
      <w:r>
        <w:rPr>
          <w:rFonts w:hint="eastAsia" w:ascii="Times New Roman" w:hAnsi="Times New Roman" w:eastAsia="仿宋_GB2312" w:cs="宋体"/>
          <w:kern w:val="0"/>
          <w:sz w:val="32"/>
          <w:szCs w:val="32"/>
          <w:lang w:val="en-US" w:eastAsia="zh-CN" w:bidi="ar-SA"/>
        </w:rPr>
        <w:t>工纺织、电子产品、绿色化工</w:t>
      </w:r>
      <w:r>
        <w:rPr>
          <w:rFonts w:ascii="Times New Roman" w:hAnsi="Times New Roman" w:eastAsia="仿宋_GB2312" w:cs="宋体"/>
          <w:kern w:val="0"/>
          <w:sz w:val="32"/>
          <w:szCs w:val="32"/>
          <w:lang w:val="en-US" w:eastAsia="zh-CN" w:bidi="ar-SA"/>
        </w:rPr>
        <w:t>等为辅的综合型特色产业集中区</w:t>
      </w:r>
      <w:r>
        <w:rPr>
          <w:rFonts w:hint="eastAsia" w:ascii="Times New Roman" w:hAnsi="Times New Roman" w:eastAsia="仿宋_GB2312" w:cs="宋体"/>
          <w:kern w:val="0"/>
          <w:sz w:val="32"/>
          <w:szCs w:val="32"/>
          <w:lang w:val="en-US" w:eastAsia="zh-CN" w:bidi="ar-SA"/>
        </w:rPr>
        <w:t>。加快城西特色食品、才湾生态食品、绍水镇农产品加工等米粉产业园、生态食品产业园建设，大力引进米粉产业链头部企业，着力打造“中国干米粉之都”。以驰普桂北国际高新产业城为龙头带动，引进若干家装备制造、智能制造、食品加工、新材料及综合性加工为主的头部企业，建成功能完善的产业城。推进凤凰镇音响之都产业园加快建设。加快风电、光伏等新能源项目开发建设。大力发展现代石材加工业，重点引进规模石材企业，建成石材产业园。以新宝铝产业园为基础，加快企业复工和技改提升。</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县工业园区管委会</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县工业和信息化局、县自然资源局、县发展改革局、各乡（镇）人民政府〕</w:t>
      </w:r>
    </w:p>
    <w:p w14:paraId="03AD6825">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积极推进园区基础设施建设。根据园区规划和产业发展要求，完善园区生产和生活配套服务。围绕“五网”建设布局发展，重点建设全县工业园污水处理厂等基础设施项目，建设一批标准厂房，加快推进园区道路、给排水、管网、污水垃圾处理、电力电信、燃气及绿化、美化、亮化等基础设施建设，加强配套住房、教育、医疗、餐饮娱乐等公共服务设施建设，推动产业园区从单一的生产型园区经济向综合型城市经济转型，推动产城融合、产教融合发展。</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县工业园区管委会</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县工业和信息化局、县住房城乡建设局、县自然资源局、县城市管理监督局、县教育局、县卫生健康局</w:t>
      </w:r>
      <w:r>
        <w:rPr>
          <w:rFonts w:ascii="Times New Roman" w:hAnsi="Times New Roman" w:eastAsia="仿宋_GB2312" w:cs="宋体"/>
          <w:kern w:val="0"/>
          <w:sz w:val="32"/>
          <w:szCs w:val="32"/>
          <w:lang w:val="en-US" w:eastAsia="zh-CN" w:bidi="ar-SA"/>
        </w:rPr>
        <w:t>）</w:t>
      </w:r>
    </w:p>
    <w:p w14:paraId="75F45DF3">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提升产业竞争力。鼓励园区企业创新和科研院所合作，提升自主创新能力和加快科技成果转化，提高企业产品质量，培育自治区级以上技术创新示范企业。运用“互联网+”、“物联网”、智能装备、循环利用技术和多种先进适用技术，着力抓好机械、建材、酿酒、铁合金、铝合金、采选矿等传统产业的技术革新，优化产业结构，改善品种质量，增强产业配套能力，形成集成式的产业创新体系，建立推进工业品牌培育的长效机制，鼓励企业培育工业品牌。</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县工业园区管委会</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县工业和信息化局、县科技局</w:t>
      </w:r>
      <w:r>
        <w:rPr>
          <w:rFonts w:ascii="Times New Roman" w:hAnsi="Times New Roman" w:eastAsia="仿宋_GB2312" w:cs="宋体"/>
          <w:kern w:val="0"/>
          <w:sz w:val="32"/>
          <w:szCs w:val="32"/>
          <w:lang w:val="en-US" w:eastAsia="zh-CN" w:bidi="ar-SA"/>
        </w:rPr>
        <w:t>）</w:t>
      </w:r>
    </w:p>
    <w:p w14:paraId="09C2A338">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承接东部产业转移。发挥全州北承湖湘华东沿海、南接粤港澳大湾区的区位优势和生态优势，通过以重构产业链思维打造生态产业园区，主动对接健康食品加工、绿色化工新材料、环保设备生产、轻工纺织、装备制造、新建材制造等行业龙头企业，积极承接东部沿海、粤港澳大湾区地区产业转移，重构全县现代产业发展体系，形成特色优势产业集聚区，实现产业集聚发展。</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县工业园区管委会</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县工业和信息化局、县农业农村局</w:t>
      </w:r>
      <w:r>
        <w:rPr>
          <w:rFonts w:ascii="Times New Roman" w:hAnsi="Times New Roman" w:eastAsia="仿宋_GB2312" w:cs="宋体"/>
          <w:kern w:val="0"/>
          <w:sz w:val="32"/>
          <w:szCs w:val="32"/>
          <w:lang w:val="en-US" w:eastAsia="zh-CN" w:bidi="ar-SA"/>
        </w:rPr>
        <w:t>）</w:t>
      </w:r>
    </w:p>
    <w:p w14:paraId="30E479C3">
      <w:pPr>
        <w:pStyle w:val="14"/>
        <w:overflowPunct w:val="0"/>
        <w:autoSpaceDE w:val="0"/>
        <w:autoSpaceDN w:val="0"/>
        <w:adjustRightInd w:val="0"/>
        <w:snapToGrid w:val="0"/>
        <w:spacing w:line="360" w:lineRule="auto"/>
        <w:ind w:firstLine="64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引进与培育龙头企业。坚持以本土龙头企业为基础，通过资产重组、控股、参股、兼并、租赁等多种方式扩大企业规模，增强企业实力，促进产业向中高端发展。扩大招商力度，加快引进一批有影响力的行业龙头企业。</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县工业园区管委会</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w:t>
      </w:r>
      <w:r>
        <w:rPr>
          <w:rFonts w:ascii="Times New Roman" w:hAnsi="Times New Roman" w:eastAsia="仿宋_GB2312" w:cs="宋体"/>
          <w:kern w:val="0"/>
          <w:sz w:val="32"/>
          <w:szCs w:val="32"/>
          <w:lang w:val="en-US" w:eastAsia="zh-CN" w:bidi="ar-SA"/>
        </w:rPr>
        <w:t>）</w:t>
      </w:r>
    </w:p>
    <w:p w14:paraId="1C084BFC">
      <w:pPr>
        <w:pStyle w:val="14"/>
        <w:overflowPunct w:val="0"/>
        <w:autoSpaceDE w:val="0"/>
        <w:autoSpaceDN w:val="0"/>
        <w:adjustRightInd w:val="0"/>
        <w:snapToGrid w:val="0"/>
        <w:spacing w:line="360" w:lineRule="auto"/>
        <w:ind w:firstLine="64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推进“互联网+产业”进程。搭建园区发展信息平台。利用5G技术，搭建园区数据信息服务平台，为入园企业提供多维度服务。大力推进产业互联网建设，加快工业化和信息化深度融合，引导工业企业应用互联网技术和信息技术推进企业生产、经营、管理方式的转变，促进企业转型升级。大力发展电子商务和工业“物联网”及智能制造，实现工业企业产品线上线下双向销售。</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县工业园区管委会</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县工业和信息化局、中国电信全州分公司、中国移动全州分公司</w:t>
      </w:r>
      <w:r>
        <w:rPr>
          <w:rFonts w:ascii="Times New Roman" w:hAnsi="Times New Roman" w:eastAsia="仿宋_GB2312" w:cs="宋体"/>
          <w:kern w:val="0"/>
          <w:sz w:val="32"/>
          <w:szCs w:val="32"/>
          <w:lang w:val="en-US" w:eastAsia="zh-CN" w:bidi="ar-SA"/>
        </w:rPr>
        <w:t>）</w:t>
      </w:r>
    </w:p>
    <w:p w14:paraId="3658E377">
      <w:pPr>
        <w:pStyle w:val="14"/>
        <w:overflowPunct w:val="0"/>
        <w:autoSpaceDE w:val="0"/>
        <w:autoSpaceDN w:val="0"/>
        <w:adjustRightInd w:val="0"/>
        <w:snapToGrid w:val="0"/>
        <w:spacing w:line="360" w:lineRule="auto"/>
        <w:jc w:val="center"/>
        <w:rPr>
          <w:rStyle w:val="20"/>
          <w:rFonts w:ascii="Times New Roman" w:hAnsi="Times New Roman" w:cs="宋体"/>
          <w:b/>
          <w:sz w:val="32"/>
          <w:szCs w:val="32"/>
        </w:rPr>
      </w:pPr>
      <w:bookmarkStart w:id="21" w:name="_Toc31650"/>
      <w:bookmarkStart w:id="22" w:name="_Toc15295"/>
    </w:p>
    <w:p w14:paraId="65318164">
      <w:pPr>
        <w:pStyle w:val="14"/>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sz w:val="32"/>
          <w:szCs w:val="30"/>
        </w:rPr>
      </w:pPr>
      <w:r>
        <w:rPr>
          <w:rStyle w:val="20"/>
          <w:rFonts w:hint="eastAsia" w:ascii="Times New Roman" w:hAnsi="Times New Roman" w:eastAsia="楷体_GB2312" w:cs="楷体_GB2312"/>
          <w:b w:val="0"/>
          <w:bCs/>
          <w:sz w:val="32"/>
          <w:szCs w:val="32"/>
        </w:rPr>
        <w:t>第二节  促进产业提质升级</w:t>
      </w:r>
      <w:bookmarkEnd w:id="21"/>
      <w:bookmarkEnd w:id="22"/>
    </w:p>
    <w:p w14:paraId="775136AC">
      <w:pPr>
        <w:pStyle w:val="14"/>
        <w:overflowPunct w:val="0"/>
        <w:autoSpaceDE w:val="0"/>
        <w:autoSpaceDN w:val="0"/>
        <w:adjustRightInd w:val="0"/>
        <w:snapToGrid w:val="0"/>
        <w:spacing w:line="360" w:lineRule="auto"/>
        <w:jc w:val="both"/>
        <w:rPr>
          <w:rFonts w:ascii="Times New Roman" w:hAnsi="Times New Roman"/>
        </w:rPr>
      </w:pPr>
    </w:p>
    <w:p w14:paraId="063CA125">
      <w:pPr>
        <w:overflowPunct w:val="0"/>
        <w:autoSpaceDE w:val="0"/>
        <w:autoSpaceDN w:val="0"/>
        <w:adjustRightInd w:val="0"/>
        <w:snapToGrid w:val="0"/>
        <w:spacing w:line="360" w:lineRule="auto"/>
        <w:ind w:firstLine="616" w:firstLineChars="200"/>
        <w:rPr>
          <w:rFonts w:hint="eastAsia" w:ascii="Times New Roman" w:hAnsi="Times New Roman" w:eastAsia="仿宋_GB2312" w:cs="仿宋_GB2312"/>
          <w:kern w:val="0"/>
          <w:sz w:val="32"/>
          <w:szCs w:val="32"/>
          <w:lang w:eastAsia="zh-CN"/>
        </w:rPr>
      </w:pPr>
      <w:r>
        <w:rPr>
          <w:rFonts w:ascii="Times New Roman" w:hAnsi="Times New Roman" w:eastAsia="仿宋_GB2312" w:cs="宋体"/>
          <w:kern w:val="0"/>
          <w:sz w:val="32"/>
          <w:szCs w:val="32"/>
        </w:rPr>
        <w:t>聚集</w:t>
      </w:r>
      <w:r>
        <w:rPr>
          <w:rFonts w:hint="eastAsia" w:ascii="Times New Roman" w:hAnsi="Times New Roman" w:eastAsia="仿宋_GB2312" w:cs="宋体"/>
          <w:kern w:val="0"/>
          <w:sz w:val="32"/>
          <w:szCs w:val="32"/>
        </w:rPr>
        <w:t>发展</w:t>
      </w:r>
      <w:r>
        <w:rPr>
          <w:rFonts w:ascii="Times New Roman" w:hAnsi="Times New Roman" w:eastAsia="仿宋_GB2312" w:cs="宋体"/>
          <w:kern w:val="0"/>
          <w:sz w:val="32"/>
          <w:szCs w:val="32"/>
        </w:rPr>
        <w:t>金槐产业。</w:t>
      </w:r>
      <w:r>
        <w:rPr>
          <w:rFonts w:hint="eastAsia" w:ascii="Times New Roman" w:hAnsi="Times New Roman" w:eastAsia="仿宋_GB2312" w:cs="宋体"/>
          <w:kern w:val="0"/>
          <w:sz w:val="32"/>
          <w:szCs w:val="32"/>
        </w:rPr>
        <w:t>重点抓住金槐深加工产业链高端和缺失环节，推进以金槐为核心的产业链项目建设，打造金槐产业集聚区。大力</w:t>
      </w:r>
      <w:r>
        <w:rPr>
          <w:rFonts w:ascii="Times New Roman" w:hAnsi="Times New Roman" w:eastAsia="仿宋_GB2312" w:cs="宋体"/>
          <w:kern w:val="0"/>
          <w:sz w:val="32"/>
          <w:szCs w:val="32"/>
        </w:rPr>
        <w:t>发展金槐产业集群，</w:t>
      </w:r>
      <w:r>
        <w:rPr>
          <w:rFonts w:hint="eastAsia" w:ascii="Times New Roman" w:hAnsi="Times New Roman" w:eastAsia="仿宋_GB2312" w:cs="宋体"/>
          <w:kern w:val="0"/>
          <w:sz w:val="32"/>
          <w:szCs w:val="32"/>
        </w:rPr>
        <w:t>重点发展高技术含量、高附加值金槐产品。</w:t>
      </w:r>
      <w:r>
        <w:rPr>
          <w:rFonts w:ascii="Times New Roman" w:hAnsi="Times New Roman" w:eastAsia="仿宋_GB2312" w:cs="宋体"/>
          <w:kern w:val="0"/>
          <w:sz w:val="32"/>
          <w:szCs w:val="32"/>
        </w:rPr>
        <w:t>完善金槐培植技术，稳步扩大金槐种植规模</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加快形成产业配套</w:t>
      </w:r>
      <w:r>
        <w:rPr>
          <w:rFonts w:hint="eastAsia" w:ascii="Times New Roman" w:hAnsi="Times New Roman" w:eastAsia="仿宋_GB2312" w:cs="宋体"/>
          <w:kern w:val="0"/>
          <w:sz w:val="32"/>
          <w:szCs w:val="32"/>
        </w:rPr>
        <w:t>体系，</w:t>
      </w:r>
      <w:r>
        <w:rPr>
          <w:rFonts w:ascii="Times New Roman" w:hAnsi="Times New Roman" w:eastAsia="仿宋_GB2312" w:cs="宋体"/>
          <w:kern w:val="0"/>
          <w:sz w:val="32"/>
          <w:szCs w:val="32"/>
        </w:rPr>
        <w:t>拓宽</w:t>
      </w:r>
      <w:r>
        <w:rPr>
          <w:rFonts w:hint="eastAsia" w:ascii="Times New Roman" w:hAnsi="Times New Roman" w:eastAsia="仿宋_GB2312" w:cs="宋体"/>
          <w:kern w:val="0"/>
          <w:sz w:val="32"/>
          <w:szCs w:val="32"/>
        </w:rPr>
        <w:t>药用、食用和工业用产品形态，延伸</w:t>
      </w:r>
      <w:r>
        <w:rPr>
          <w:rFonts w:ascii="Times New Roman" w:hAnsi="Times New Roman" w:eastAsia="仿宋_GB2312" w:cs="宋体"/>
          <w:kern w:val="0"/>
          <w:sz w:val="32"/>
          <w:szCs w:val="32"/>
        </w:rPr>
        <w:t>金槐产业链，</w:t>
      </w:r>
      <w:r>
        <w:rPr>
          <w:rFonts w:hint="eastAsia" w:ascii="Times New Roman" w:hAnsi="Times New Roman" w:eastAsia="仿宋_GB2312" w:cs="宋体"/>
          <w:kern w:val="0"/>
          <w:sz w:val="32"/>
          <w:szCs w:val="32"/>
        </w:rPr>
        <w:t>快速提升</w:t>
      </w:r>
      <w:r>
        <w:rPr>
          <w:rFonts w:ascii="Times New Roman" w:hAnsi="Times New Roman" w:eastAsia="仿宋_GB2312" w:cs="宋体"/>
          <w:kern w:val="0"/>
          <w:sz w:val="32"/>
          <w:szCs w:val="32"/>
        </w:rPr>
        <w:t>全州金槐</w:t>
      </w:r>
      <w:r>
        <w:rPr>
          <w:rFonts w:hint="eastAsia" w:ascii="Times New Roman" w:hAnsi="Times New Roman" w:eastAsia="仿宋_GB2312" w:cs="宋体"/>
          <w:kern w:val="0"/>
          <w:sz w:val="32"/>
          <w:szCs w:val="32"/>
        </w:rPr>
        <w:t>产业的</w:t>
      </w:r>
      <w:r>
        <w:rPr>
          <w:rFonts w:ascii="Times New Roman" w:hAnsi="Times New Roman" w:eastAsia="仿宋_GB2312" w:cs="宋体"/>
          <w:kern w:val="0"/>
          <w:sz w:val="32"/>
          <w:szCs w:val="32"/>
        </w:rPr>
        <w:t>区域品牌影响力</w:t>
      </w:r>
      <w:r>
        <w:rPr>
          <w:rFonts w:hint="eastAsia" w:ascii="Times New Roman" w:hAnsi="Times New Roman" w:eastAsia="仿宋_GB2312" w:cs="宋体"/>
          <w:kern w:val="0"/>
          <w:sz w:val="32"/>
          <w:szCs w:val="32"/>
        </w:rPr>
        <w:t>和促进</w:t>
      </w:r>
      <w:r>
        <w:rPr>
          <w:rFonts w:ascii="Times New Roman" w:hAnsi="Times New Roman" w:eastAsia="仿宋_GB2312" w:cs="宋体"/>
          <w:kern w:val="0"/>
          <w:sz w:val="32"/>
          <w:szCs w:val="32"/>
        </w:rPr>
        <w:t>产业规模</w:t>
      </w:r>
      <w:r>
        <w:rPr>
          <w:rFonts w:hint="eastAsia" w:ascii="Times New Roman" w:hAnsi="Times New Roman" w:eastAsia="仿宋_GB2312" w:cs="宋体"/>
          <w:kern w:val="0"/>
          <w:sz w:val="32"/>
          <w:szCs w:val="32"/>
        </w:rPr>
        <w:t>化发展</w:t>
      </w:r>
      <w:r>
        <w:rPr>
          <w:rFonts w:ascii="Times New Roman" w:hAnsi="Times New Roman" w:eastAsia="仿宋_GB2312" w:cs="宋体"/>
          <w:kern w:val="0"/>
          <w:sz w:val="32"/>
          <w:szCs w:val="32"/>
        </w:rPr>
        <w:t>；到202</w:t>
      </w:r>
      <w:r>
        <w:rPr>
          <w:rFonts w:hint="eastAsia" w:ascii="Times New Roman" w:hAnsi="Times New Roman" w:eastAsia="仿宋_GB2312" w:cs="宋体"/>
          <w:kern w:val="0"/>
          <w:sz w:val="32"/>
          <w:szCs w:val="32"/>
        </w:rPr>
        <w:t>5</w:t>
      </w:r>
      <w:r>
        <w:rPr>
          <w:rFonts w:ascii="Times New Roman" w:hAnsi="Times New Roman" w:eastAsia="仿宋_GB2312" w:cs="宋体"/>
          <w:kern w:val="0"/>
          <w:sz w:val="32"/>
          <w:szCs w:val="32"/>
        </w:rPr>
        <w:t>年，金槐规模工业总产值力争实现</w:t>
      </w:r>
      <w:r>
        <w:rPr>
          <w:rFonts w:hint="eastAsia" w:ascii="Times New Roman" w:hAnsi="Times New Roman" w:eastAsia="仿宋_GB2312" w:cs="宋体"/>
          <w:kern w:val="0"/>
          <w:sz w:val="32"/>
          <w:szCs w:val="32"/>
        </w:rPr>
        <w:t>20</w:t>
      </w:r>
      <w:r>
        <w:rPr>
          <w:rFonts w:ascii="Times New Roman" w:hAnsi="Times New Roman" w:eastAsia="仿宋_GB2312" w:cs="宋体"/>
          <w:kern w:val="0"/>
          <w:sz w:val="32"/>
          <w:szCs w:val="32"/>
        </w:rPr>
        <w:t>亿元。</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县工业和信息化局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7A4C1875">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加快</w:t>
      </w:r>
      <w:r>
        <w:rPr>
          <w:rFonts w:ascii="Times New Roman" w:hAnsi="Times New Roman" w:eastAsia="仿宋_GB2312" w:cs="宋体"/>
          <w:kern w:val="0"/>
          <w:sz w:val="32"/>
          <w:szCs w:val="32"/>
        </w:rPr>
        <w:t>发展</w:t>
      </w:r>
      <w:r>
        <w:rPr>
          <w:rFonts w:hint="eastAsia" w:ascii="Times New Roman" w:hAnsi="Times New Roman" w:eastAsia="仿宋_GB2312" w:cs="宋体"/>
          <w:kern w:val="0"/>
          <w:sz w:val="32"/>
          <w:szCs w:val="32"/>
        </w:rPr>
        <w:t>竹木</w:t>
      </w:r>
      <w:r>
        <w:rPr>
          <w:rFonts w:ascii="Times New Roman" w:hAnsi="Times New Roman" w:eastAsia="仿宋_GB2312" w:cs="宋体"/>
          <w:kern w:val="0"/>
          <w:sz w:val="32"/>
          <w:szCs w:val="32"/>
        </w:rPr>
        <w:t>加工业。</w:t>
      </w:r>
      <w:r>
        <w:rPr>
          <w:rFonts w:hint="eastAsia" w:ascii="Times New Roman" w:hAnsi="Times New Roman" w:eastAsia="仿宋_GB2312" w:cs="宋体"/>
          <w:kern w:val="0"/>
          <w:sz w:val="32"/>
          <w:szCs w:val="32"/>
        </w:rPr>
        <w:t>重点发展技术含量高，文化艺术特色突出的创意型高附加值产品，鼓励发展新型生态木材产品和木材工艺制品。培育和扶持一批规模大、技术加工能力强的特色深加工企业。</w:t>
      </w:r>
      <w:r>
        <w:rPr>
          <w:rFonts w:ascii="Times New Roman" w:hAnsi="Times New Roman" w:eastAsia="仿宋_GB2312" w:cs="宋体"/>
          <w:kern w:val="0"/>
          <w:sz w:val="32"/>
          <w:szCs w:val="32"/>
        </w:rPr>
        <w:t>强化现有木材加工规模企业的引领和推动</w:t>
      </w:r>
      <w:r>
        <w:rPr>
          <w:rFonts w:hint="eastAsia" w:ascii="Times New Roman" w:hAnsi="Times New Roman" w:eastAsia="仿宋_GB2312" w:cs="宋体"/>
          <w:kern w:val="0"/>
          <w:sz w:val="32"/>
          <w:szCs w:val="32"/>
        </w:rPr>
        <w:t>，鼓励规模小的企业进行兼并重组，完成县级国有木材公司组建，积极培育龙头企业。持续</w:t>
      </w:r>
      <w:r>
        <w:rPr>
          <w:rFonts w:ascii="Times New Roman" w:hAnsi="Times New Roman" w:eastAsia="仿宋_GB2312" w:cs="宋体"/>
          <w:kern w:val="0"/>
          <w:sz w:val="32"/>
          <w:szCs w:val="32"/>
        </w:rPr>
        <w:t>延伸产业链条，</w:t>
      </w:r>
      <w:r>
        <w:rPr>
          <w:rFonts w:hint="eastAsia" w:ascii="Times New Roman" w:hAnsi="Times New Roman" w:eastAsia="仿宋_GB2312" w:cs="宋体"/>
          <w:kern w:val="0"/>
          <w:sz w:val="32"/>
          <w:szCs w:val="32"/>
        </w:rPr>
        <w:t>加快推进全县木材加工产品品牌化、</w:t>
      </w:r>
      <w:r>
        <w:rPr>
          <w:rFonts w:ascii="Times New Roman" w:hAnsi="Times New Roman" w:eastAsia="仿宋_GB2312" w:cs="宋体"/>
          <w:kern w:val="0"/>
          <w:sz w:val="32"/>
          <w:szCs w:val="32"/>
        </w:rPr>
        <w:t>产业规模化</w:t>
      </w:r>
      <w:r>
        <w:rPr>
          <w:rFonts w:hint="eastAsia" w:ascii="Times New Roman" w:hAnsi="Times New Roman" w:eastAsia="仿宋_GB2312" w:cs="宋体"/>
          <w:kern w:val="0"/>
          <w:sz w:val="32"/>
          <w:szCs w:val="32"/>
        </w:rPr>
        <w:t>发展，</w:t>
      </w:r>
      <w:r>
        <w:rPr>
          <w:rFonts w:ascii="Times New Roman" w:hAnsi="Times New Roman" w:eastAsia="仿宋_GB2312" w:cs="宋体"/>
          <w:kern w:val="0"/>
          <w:sz w:val="32"/>
          <w:szCs w:val="32"/>
        </w:rPr>
        <w:t>形成木材加工公司加农户、龙头连基地、产供销一条龙的良性发展模式。到202</w:t>
      </w:r>
      <w:r>
        <w:rPr>
          <w:rFonts w:hint="eastAsia" w:ascii="Times New Roman" w:hAnsi="Times New Roman" w:eastAsia="仿宋_GB2312" w:cs="宋体"/>
          <w:kern w:val="0"/>
          <w:sz w:val="32"/>
          <w:szCs w:val="32"/>
        </w:rPr>
        <w:t>5</w:t>
      </w:r>
      <w:r>
        <w:rPr>
          <w:rFonts w:ascii="Times New Roman" w:hAnsi="Times New Roman" w:eastAsia="仿宋_GB2312" w:cs="宋体"/>
          <w:kern w:val="0"/>
          <w:sz w:val="32"/>
          <w:szCs w:val="32"/>
        </w:rPr>
        <w:t>年，竹木加工产业规模工业总产值力争实现</w:t>
      </w:r>
      <w:r>
        <w:rPr>
          <w:rFonts w:hint="eastAsia" w:ascii="Times New Roman" w:hAnsi="Times New Roman" w:eastAsia="仿宋_GB2312" w:cs="宋体"/>
          <w:kern w:val="0"/>
          <w:sz w:val="32"/>
          <w:szCs w:val="32"/>
        </w:rPr>
        <w:t>2.5</w:t>
      </w:r>
      <w:r>
        <w:rPr>
          <w:rFonts w:ascii="Times New Roman" w:hAnsi="Times New Roman" w:eastAsia="仿宋_GB2312" w:cs="宋体"/>
          <w:kern w:val="0"/>
          <w:sz w:val="32"/>
          <w:szCs w:val="32"/>
        </w:rPr>
        <w:t>亿元。</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县工业和信息化局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县林业局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r>
        <w:rPr>
          <w:rFonts w:hint="eastAsia" w:ascii="Times New Roman" w:hAnsi="Times New Roman" w:eastAsia="仿宋_GB2312" w:cs="仿宋_GB2312"/>
          <w:kern w:val="0"/>
          <w:sz w:val="32"/>
          <w:szCs w:val="32"/>
          <w:lang w:eastAsia="zh-CN"/>
        </w:rPr>
        <w:t>〕</w:t>
      </w:r>
    </w:p>
    <w:p w14:paraId="3CAB635D">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优化提升传统产业。鼓励扶持</w:t>
      </w:r>
      <w:r>
        <w:rPr>
          <w:rFonts w:ascii="Times New Roman" w:hAnsi="Times New Roman" w:eastAsia="仿宋_GB2312" w:cs="宋体"/>
          <w:kern w:val="0"/>
          <w:sz w:val="32"/>
          <w:szCs w:val="32"/>
        </w:rPr>
        <w:t>机械、建材、酿酒、</w:t>
      </w:r>
      <w:r>
        <w:rPr>
          <w:rFonts w:hint="eastAsia" w:ascii="Times New Roman" w:hAnsi="Times New Roman" w:eastAsia="仿宋_GB2312" w:cs="宋体"/>
          <w:kern w:val="0"/>
          <w:sz w:val="32"/>
          <w:szCs w:val="32"/>
        </w:rPr>
        <w:t>米粉、粮食综合加工、</w:t>
      </w:r>
      <w:r>
        <w:rPr>
          <w:rFonts w:ascii="Times New Roman" w:hAnsi="Times New Roman" w:eastAsia="仿宋_GB2312" w:cs="宋体"/>
          <w:kern w:val="0"/>
          <w:sz w:val="32"/>
          <w:szCs w:val="32"/>
        </w:rPr>
        <w:t>铁合金、铝合金、采选矿等传统产业进行</w:t>
      </w:r>
      <w:r>
        <w:rPr>
          <w:rFonts w:hint="eastAsia" w:ascii="Times New Roman" w:hAnsi="Times New Roman" w:eastAsia="仿宋_GB2312" w:cs="宋体"/>
          <w:kern w:val="0"/>
          <w:sz w:val="32"/>
          <w:szCs w:val="32"/>
        </w:rPr>
        <w:t>技术</w:t>
      </w:r>
      <w:r>
        <w:rPr>
          <w:rFonts w:ascii="Times New Roman" w:hAnsi="Times New Roman" w:eastAsia="仿宋_GB2312" w:cs="宋体"/>
          <w:kern w:val="0"/>
          <w:sz w:val="32"/>
          <w:szCs w:val="32"/>
        </w:rPr>
        <w:t>改造和提升，优化产业结构，淘汰落后产能，改善品种质量，促进产业发展。</w:t>
      </w:r>
      <w:r>
        <w:rPr>
          <w:rFonts w:hint="eastAsia" w:ascii="Times New Roman" w:hAnsi="Times New Roman" w:eastAsia="仿宋_GB2312" w:cs="宋体"/>
          <w:kern w:val="0"/>
          <w:sz w:val="32"/>
          <w:szCs w:val="32"/>
        </w:rPr>
        <w:t>以生态化改造为方向，推进冶炼产业循环发展，提高能源的综合利用，推动传统产业向中下游和中高端延伸，促进产业业态转型升级，</w:t>
      </w:r>
      <w:r>
        <w:rPr>
          <w:rFonts w:ascii="Times New Roman" w:hAnsi="Times New Roman" w:eastAsia="仿宋_GB2312" w:cs="宋体"/>
          <w:kern w:val="0"/>
          <w:sz w:val="32"/>
          <w:szCs w:val="32"/>
        </w:rPr>
        <w:t>运用节能降耗技术，</w:t>
      </w:r>
      <w:r>
        <w:rPr>
          <w:rFonts w:hint="eastAsia" w:ascii="Times New Roman" w:hAnsi="Times New Roman" w:eastAsia="仿宋_GB2312" w:cs="宋体"/>
          <w:kern w:val="0"/>
          <w:sz w:val="32"/>
          <w:szCs w:val="32"/>
        </w:rPr>
        <w:t>大力</w:t>
      </w:r>
      <w:r>
        <w:rPr>
          <w:rFonts w:ascii="Times New Roman" w:hAnsi="Times New Roman" w:eastAsia="仿宋_GB2312" w:cs="宋体"/>
          <w:kern w:val="0"/>
          <w:sz w:val="32"/>
          <w:szCs w:val="32"/>
        </w:rPr>
        <w:t>改造提升铁合金行业。</w:t>
      </w:r>
      <w:r>
        <w:rPr>
          <w:rFonts w:hint="eastAsia" w:ascii="Times New Roman" w:hAnsi="Times New Roman" w:eastAsia="仿宋_GB2312" w:cs="宋体"/>
          <w:kern w:val="0"/>
          <w:sz w:val="32"/>
          <w:szCs w:val="32"/>
        </w:rPr>
        <w:t>做大做强全州米粉产业，制定全州干米粉地方标准，申报全州干米粉地理标识，规范全县米粉产业向高品质发展，打造米粉之都品牌。持续</w:t>
      </w:r>
      <w:r>
        <w:rPr>
          <w:rFonts w:ascii="Times New Roman" w:hAnsi="Times New Roman" w:eastAsia="仿宋_GB2312" w:cs="宋体"/>
          <w:kern w:val="0"/>
          <w:sz w:val="32"/>
          <w:szCs w:val="32"/>
        </w:rPr>
        <w:t>做强以湘山酒业为龙头的酿酒业</w:t>
      </w:r>
      <w:r>
        <w:rPr>
          <w:rFonts w:hint="eastAsia" w:ascii="Times New Roman" w:hAnsi="Times New Roman" w:eastAsia="仿宋_GB2312" w:cs="宋体"/>
          <w:kern w:val="0"/>
          <w:sz w:val="32"/>
          <w:szCs w:val="32"/>
        </w:rPr>
        <w:t>。鼓励发展粮食、果蔬、禽畜、林产品及特色农产品深加工产业，重点发展健康食品、功能食品、有机食品、休闲食品、家具等，逐步形成稻米、</w:t>
      </w:r>
      <w:r>
        <w:rPr>
          <w:rFonts w:ascii="Times New Roman" w:hAnsi="Times New Roman" w:eastAsia="仿宋_GB2312" w:cs="宋体"/>
          <w:kern w:val="0"/>
          <w:sz w:val="32"/>
          <w:szCs w:val="32"/>
        </w:rPr>
        <w:t>东山猪、文桥鸭、禾花鱼</w:t>
      </w:r>
      <w:r>
        <w:rPr>
          <w:rFonts w:hint="eastAsia" w:ascii="Times New Roman" w:hAnsi="Times New Roman" w:eastAsia="仿宋_GB2312" w:cs="宋体"/>
          <w:kern w:val="0"/>
          <w:sz w:val="32"/>
          <w:szCs w:val="32"/>
        </w:rPr>
        <w:t>等</w:t>
      </w:r>
      <w:r>
        <w:rPr>
          <w:rFonts w:ascii="Times New Roman" w:hAnsi="Times New Roman" w:eastAsia="仿宋_GB2312" w:cs="宋体"/>
          <w:kern w:val="0"/>
          <w:sz w:val="32"/>
          <w:szCs w:val="32"/>
        </w:rPr>
        <w:t>特色农副</w:t>
      </w:r>
      <w:r>
        <w:rPr>
          <w:rFonts w:hint="eastAsia" w:ascii="Times New Roman" w:hAnsi="Times New Roman" w:eastAsia="仿宋_GB2312" w:cs="宋体"/>
          <w:kern w:val="0"/>
          <w:sz w:val="32"/>
          <w:szCs w:val="32"/>
        </w:rPr>
        <w:t>产品精细加工产业体系，促进农产品就地加工转化。</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县工业和信息化局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县科技局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51BA2A70">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促进制造业服务化</w:t>
      </w:r>
      <w:r>
        <w:rPr>
          <w:rFonts w:ascii="Times New Roman" w:hAnsi="Times New Roman" w:eastAsia="仿宋_GB2312" w:cs="宋体"/>
          <w:kern w:val="0"/>
          <w:sz w:val="32"/>
          <w:szCs w:val="32"/>
        </w:rPr>
        <w:t>。</w:t>
      </w:r>
      <w:r>
        <w:rPr>
          <w:rFonts w:hint="eastAsia" w:ascii="Times New Roman" w:hAnsi="Times New Roman" w:eastAsia="仿宋_GB2312" w:cs="宋体"/>
          <w:kern w:val="0"/>
          <w:sz w:val="32"/>
          <w:szCs w:val="32"/>
        </w:rPr>
        <w:t>在推动产业优化升级上继续下功夫，坚定不移走自主创新道路，</w:t>
      </w:r>
      <w:r>
        <w:rPr>
          <w:rFonts w:ascii="Times New Roman" w:hAnsi="Times New Roman" w:eastAsia="仿宋_GB2312" w:cs="宋体"/>
          <w:kern w:val="0"/>
          <w:sz w:val="32"/>
          <w:szCs w:val="32"/>
        </w:rPr>
        <w:t>大力发展面向工业生产的金融服务、信息服务、物流服务、工业设计、咨询策划、服务外包等现代服务业，深化专业分工，加快推进制造业服务化，不断提升对工业转型升级的服务支撑能力，促进先进制造业与服务业协调发展。</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县工业和信息化局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4BFFFB52">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提升产业链供应链现代化水平。按照</w:t>
      </w:r>
      <w:r>
        <w:rPr>
          <w:rFonts w:ascii="Times New Roman" w:hAnsi="Times New Roman" w:eastAsia="仿宋_GB2312" w:cs="宋体"/>
          <w:kern w:val="0"/>
          <w:sz w:val="32"/>
          <w:szCs w:val="32"/>
        </w:rPr>
        <w:t>“</w:t>
      </w:r>
      <w:r>
        <w:rPr>
          <w:rFonts w:hint="eastAsia" w:ascii="Times New Roman" w:hAnsi="Times New Roman" w:eastAsia="仿宋_GB2312" w:cs="宋体"/>
          <w:kern w:val="0"/>
          <w:sz w:val="32"/>
          <w:szCs w:val="32"/>
        </w:rPr>
        <w:t>强龙头、补链条、聚集群</w:t>
      </w:r>
      <w:r>
        <w:rPr>
          <w:rFonts w:ascii="Times New Roman" w:hAnsi="Times New Roman" w:eastAsia="仿宋_GB2312" w:cs="宋体"/>
          <w:kern w:val="0"/>
          <w:sz w:val="32"/>
          <w:szCs w:val="32"/>
        </w:rPr>
        <w:t>”</w:t>
      </w:r>
      <w:r>
        <w:rPr>
          <w:rFonts w:hint="eastAsia" w:ascii="Times New Roman" w:hAnsi="Times New Roman" w:eastAsia="仿宋_GB2312" w:cs="宋体"/>
          <w:kern w:val="0"/>
          <w:sz w:val="32"/>
          <w:szCs w:val="32"/>
        </w:rPr>
        <w:t>的发展思路，突出主导产业，培育壮大链主和龙头企业</w:t>
      </w:r>
      <w:r>
        <w:rPr>
          <w:rFonts w:hint="eastAsia" w:ascii="Times New Roman" w:hAnsi="Times New Roman" w:eastAsia="仿宋_GB2312"/>
          <w:kern w:val="2"/>
          <w:sz w:val="32"/>
          <w:szCs w:val="32"/>
        </w:rPr>
        <w:t>，聚焦建链、补链、延链，推动形成特色鲜明、关联性强、竞争优势明显的产业集群。支持硅锰合金新材料企业，采用</w:t>
      </w:r>
      <w:r>
        <w:rPr>
          <w:rFonts w:hint="eastAsia" w:ascii="Times New Roman" w:hAnsi="Times New Roman" w:eastAsia="仿宋_GB2312"/>
          <w:color w:val="auto"/>
          <w:kern w:val="2"/>
          <w:sz w:val="32"/>
          <w:szCs w:val="32"/>
        </w:rPr>
        <w:t>新工艺、新技术生产高附加值产品，加快向产业链中高端转移。支持以湘山酒业为龙头的酿酒行业，发展生物酿造酒文化创意、酒业配套产业、打造中国米香型白酒酿造基地。引进大型机械制造集团，构建桂北地区机械汽配制造加工基地。发展大米、米粉、酱菜配料等特色健康食品加工业。依托禅方药业加快建成金安国纪药品生产基地，打造生物制药产业集群。依托晨天恒源等高科技企业、加快建成晨天恒源二期，打造军工、航天航空等新材料产业集群。依托国电优能、全州优能等风电企业，加</w:t>
      </w:r>
      <w:r>
        <w:rPr>
          <w:rFonts w:hint="eastAsia" w:ascii="Times New Roman" w:hAnsi="Times New Roman" w:eastAsia="仿宋_GB2312"/>
          <w:kern w:val="2"/>
          <w:sz w:val="32"/>
          <w:szCs w:val="32"/>
        </w:rPr>
        <w:t>快青山口、天子岭等风电场建设，打造清洁能源产业集群。大力引进智能制造、节能环保</w:t>
      </w:r>
      <w:r>
        <w:rPr>
          <w:rFonts w:hint="eastAsia" w:ascii="Times New Roman" w:hAnsi="Times New Roman" w:eastAsia="仿宋_GB2312" w:cs="宋体"/>
          <w:kern w:val="0"/>
          <w:sz w:val="32"/>
          <w:szCs w:val="32"/>
        </w:rPr>
        <w:t>、健康养生等新兴产业、探索发展数字经济、培育工业发展新动能。</w:t>
      </w:r>
      <w:bookmarkStart w:id="23" w:name="_Toc7490"/>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县工业和信息化局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县民政局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17CF5DB0">
      <w:pPr>
        <w:pStyle w:val="14"/>
        <w:overflowPunct w:val="0"/>
        <w:autoSpaceDE w:val="0"/>
        <w:autoSpaceDN w:val="0"/>
        <w:adjustRightInd w:val="0"/>
        <w:snapToGrid w:val="0"/>
        <w:spacing w:line="360" w:lineRule="auto"/>
        <w:jc w:val="center"/>
        <w:rPr>
          <w:rStyle w:val="20"/>
          <w:rFonts w:ascii="Times New Roman" w:hAnsi="Times New Roman" w:cs="宋体"/>
          <w:b/>
          <w:sz w:val="32"/>
          <w:szCs w:val="32"/>
        </w:rPr>
      </w:pPr>
    </w:p>
    <w:p w14:paraId="16AD9786">
      <w:pPr>
        <w:pStyle w:val="14"/>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sz w:val="32"/>
          <w:szCs w:val="30"/>
        </w:rPr>
      </w:pPr>
      <w:bookmarkStart w:id="24" w:name="_Toc8118"/>
      <w:r>
        <w:rPr>
          <w:rStyle w:val="20"/>
          <w:rFonts w:hint="eastAsia" w:ascii="Times New Roman" w:hAnsi="Times New Roman" w:eastAsia="楷体_GB2312" w:cs="楷体_GB2312"/>
          <w:b w:val="0"/>
          <w:bCs/>
          <w:sz w:val="32"/>
          <w:szCs w:val="32"/>
        </w:rPr>
        <w:t>第三节  加快培育新兴产业</w:t>
      </w:r>
      <w:bookmarkEnd w:id="23"/>
      <w:bookmarkEnd w:id="24"/>
    </w:p>
    <w:p w14:paraId="0B210A7B">
      <w:pPr>
        <w:overflowPunct w:val="0"/>
        <w:autoSpaceDE w:val="0"/>
        <w:autoSpaceDN w:val="0"/>
        <w:adjustRightInd w:val="0"/>
        <w:snapToGrid w:val="0"/>
        <w:spacing w:line="360" w:lineRule="auto"/>
        <w:ind w:firstLine="396" w:firstLineChars="200"/>
        <w:rPr>
          <w:rFonts w:ascii="Times New Roman" w:hAnsi="Times New Roman" w:eastAsia="仿宋_GB2312"/>
          <w:color w:val="000000"/>
          <w:szCs w:val="21"/>
        </w:rPr>
      </w:pPr>
    </w:p>
    <w:p w14:paraId="15597B7C">
      <w:pPr>
        <w:pStyle w:val="14"/>
        <w:overflowPunct w:val="0"/>
        <w:autoSpaceDE w:val="0"/>
        <w:autoSpaceDN w:val="0"/>
        <w:adjustRightInd w:val="0"/>
        <w:snapToGrid w:val="0"/>
        <w:spacing w:line="360" w:lineRule="auto"/>
        <w:ind w:firstLine="64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b w:val="0"/>
          <w:bCs w:val="0"/>
          <w:color w:val="000000"/>
          <w:sz w:val="32"/>
          <w:szCs w:val="32"/>
        </w:rPr>
        <w:t>培育壮大智能制造。</w:t>
      </w:r>
      <w:r>
        <w:rPr>
          <w:rFonts w:hint="eastAsia" w:ascii="Times New Roman" w:hAnsi="Times New Roman" w:eastAsia="仿宋_GB2312" w:cs="宋体"/>
          <w:b w:val="0"/>
          <w:bCs w:val="0"/>
          <w:sz w:val="32"/>
          <w:szCs w:val="30"/>
        </w:rPr>
        <w:t>选</w:t>
      </w:r>
      <w:r>
        <w:rPr>
          <w:rFonts w:hint="eastAsia" w:ascii="Times New Roman" w:hAnsi="Times New Roman" w:eastAsia="仿宋_GB2312" w:cs="宋体"/>
          <w:sz w:val="32"/>
          <w:szCs w:val="30"/>
        </w:rPr>
        <w:t>择智能制造为突破口，重点培育壮大产业关联度高、辐射能力强、市场前景广的智能制造产业，抢占产业发展和竞争制高点。加快引进智能制造生产创新项目入园，培育智能制造产业链和创新链，推动全县制造业加速向数字化、网络化、智能化发展，构</w:t>
      </w:r>
      <w:r>
        <w:rPr>
          <w:rFonts w:hint="eastAsia" w:ascii="Times New Roman" w:hAnsi="Times New Roman" w:eastAsia="仿宋_GB2312" w:cs="宋体"/>
          <w:kern w:val="0"/>
          <w:sz w:val="32"/>
          <w:szCs w:val="32"/>
          <w:lang w:val="en-US" w:eastAsia="zh-CN" w:bidi="ar-SA"/>
        </w:rPr>
        <w:t>建一个基础设施完善、标准统一完善、人才供给充足、政策环境良好、企业互利共赢的智能制造生态体系，促进制造业存量提升、增量转型。</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县工业和信息化局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县工业园区管委会、各乡（镇）人民政府〕</w:t>
      </w:r>
    </w:p>
    <w:p w14:paraId="2C7D5BD2">
      <w:pPr>
        <w:pStyle w:val="14"/>
        <w:overflowPunct w:val="0"/>
        <w:autoSpaceDE w:val="0"/>
        <w:autoSpaceDN w:val="0"/>
        <w:adjustRightInd w:val="0"/>
        <w:snapToGrid w:val="0"/>
        <w:spacing w:line="360" w:lineRule="auto"/>
        <w:ind w:firstLine="64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做强</w:t>
      </w:r>
      <w:r>
        <w:rPr>
          <w:rFonts w:ascii="Times New Roman" w:hAnsi="Times New Roman" w:eastAsia="仿宋_GB2312" w:cs="宋体"/>
          <w:kern w:val="0"/>
          <w:sz w:val="32"/>
          <w:szCs w:val="32"/>
          <w:lang w:val="en-US" w:eastAsia="zh-CN" w:bidi="ar-SA"/>
        </w:rPr>
        <w:t>生物医药产业。利用本地药材资源，</w:t>
      </w:r>
      <w:r>
        <w:rPr>
          <w:rFonts w:hint="eastAsia" w:ascii="Times New Roman" w:hAnsi="Times New Roman" w:eastAsia="仿宋_GB2312" w:cs="宋体"/>
          <w:kern w:val="0"/>
          <w:sz w:val="32"/>
          <w:szCs w:val="32"/>
          <w:lang w:val="en-US" w:eastAsia="zh-CN" w:bidi="ar-SA"/>
        </w:rPr>
        <w:t>加快</w:t>
      </w:r>
      <w:r>
        <w:rPr>
          <w:rFonts w:ascii="Times New Roman" w:hAnsi="Times New Roman" w:eastAsia="仿宋_GB2312" w:cs="宋体"/>
          <w:kern w:val="0"/>
          <w:sz w:val="32"/>
          <w:szCs w:val="32"/>
          <w:lang w:val="en-US" w:eastAsia="zh-CN" w:bidi="ar-SA"/>
        </w:rPr>
        <w:t>引进国内外知名药企落户</w:t>
      </w:r>
      <w:r>
        <w:rPr>
          <w:rFonts w:hint="eastAsia" w:ascii="Times New Roman" w:hAnsi="Times New Roman" w:eastAsia="仿宋_GB2312" w:cs="宋体"/>
          <w:kern w:val="0"/>
          <w:sz w:val="32"/>
          <w:szCs w:val="32"/>
          <w:lang w:val="en-US" w:eastAsia="zh-CN" w:bidi="ar-SA"/>
        </w:rPr>
        <w:t>本县</w:t>
      </w:r>
      <w:r>
        <w:rPr>
          <w:rFonts w:ascii="Times New Roman" w:hAnsi="Times New Roman" w:eastAsia="仿宋_GB2312" w:cs="宋体"/>
          <w:kern w:val="0"/>
          <w:sz w:val="32"/>
          <w:szCs w:val="32"/>
          <w:lang w:val="en-US" w:eastAsia="zh-CN" w:bidi="ar-SA"/>
        </w:rPr>
        <w:t>，</w:t>
      </w:r>
      <w:r>
        <w:rPr>
          <w:rFonts w:hint="eastAsia" w:ascii="Times New Roman" w:hAnsi="Times New Roman" w:eastAsia="仿宋_GB2312" w:cs="宋体"/>
          <w:kern w:val="0"/>
          <w:sz w:val="32"/>
          <w:szCs w:val="32"/>
          <w:lang w:val="en-US" w:eastAsia="zh-CN" w:bidi="ar-SA"/>
        </w:rPr>
        <w:t>做强生物医药产业</w:t>
      </w:r>
      <w:r>
        <w:rPr>
          <w:rFonts w:ascii="Times New Roman" w:hAnsi="Times New Roman" w:eastAsia="仿宋_GB2312" w:cs="宋体"/>
          <w:kern w:val="0"/>
          <w:sz w:val="32"/>
          <w:szCs w:val="32"/>
          <w:lang w:val="en-US" w:eastAsia="zh-CN" w:bidi="ar-SA"/>
        </w:rPr>
        <w:t>，</w:t>
      </w:r>
      <w:r>
        <w:rPr>
          <w:rFonts w:hint="eastAsia" w:ascii="Times New Roman" w:hAnsi="Times New Roman" w:eastAsia="仿宋_GB2312" w:cs="宋体"/>
          <w:kern w:val="0"/>
          <w:sz w:val="32"/>
          <w:szCs w:val="32"/>
          <w:lang w:val="en-US" w:eastAsia="zh-CN" w:bidi="ar-SA"/>
        </w:rPr>
        <w:t>继续</w:t>
      </w:r>
      <w:r>
        <w:rPr>
          <w:rFonts w:ascii="Times New Roman" w:hAnsi="Times New Roman" w:eastAsia="仿宋_GB2312" w:cs="宋体"/>
          <w:kern w:val="0"/>
          <w:sz w:val="32"/>
          <w:szCs w:val="32"/>
          <w:lang w:val="en-US" w:eastAsia="zh-CN" w:bidi="ar-SA"/>
        </w:rPr>
        <w:t>发展</w:t>
      </w:r>
      <w:r>
        <w:rPr>
          <w:rFonts w:hint="eastAsia" w:ascii="Times New Roman" w:hAnsi="Times New Roman" w:eastAsia="仿宋_GB2312" w:cs="宋体"/>
          <w:kern w:val="0"/>
          <w:sz w:val="32"/>
          <w:szCs w:val="32"/>
          <w:lang w:val="en-US" w:eastAsia="zh-CN" w:bidi="ar-SA"/>
        </w:rPr>
        <w:t>生物医药、天然药物、中成药、中药饮片等中药</w:t>
      </w:r>
      <w:r>
        <w:rPr>
          <w:rFonts w:ascii="Times New Roman" w:hAnsi="Times New Roman" w:eastAsia="仿宋_GB2312" w:cs="宋体"/>
          <w:kern w:val="0"/>
          <w:sz w:val="32"/>
          <w:szCs w:val="32"/>
          <w:lang w:val="en-US" w:eastAsia="zh-CN" w:bidi="ar-SA"/>
        </w:rPr>
        <w:t>现代化深加工</w:t>
      </w:r>
      <w:r>
        <w:rPr>
          <w:rFonts w:hint="eastAsia" w:ascii="Times New Roman" w:hAnsi="Times New Roman" w:eastAsia="仿宋_GB2312" w:cs="宋体"/>
          <w:kern w:val="0"/>
          <w:sz w:val="32"/>
          <w:szCs w:val="32"/>
          <w:lang w:val="en-US" w:eastAsia="zh-CN" w:bidi="ar-SA"/>
        </w:rPr>
        <w:t>、生物药品制剂、</w:t>
      </w:r>
      <w:r>
        <w:rPr>
          <w:rFonts w:ascii="Times New Roman" w:hAnsi="Times New Roman" w:eastAsia="仿宋_GB2312" w:cs="宋体"/>
          <w:kern w:val="0"/>
          <w:sz w:val="32"/>
          <w:szCs w:val="32"/>
          <w:lang w:val="en-US" w:eastAsia="zh-CN" w:bidi="ar-SA"/>
        </w:rPr>
        <w:t>新型卫生材料和医用敷料</w:t>
      </w:r>
      <w:r>
        <w:rPr>
          <w:rFonts w:hint="eastAsia" w:ascii="Times New Roman" w:hAnsi="Times New Roman" w:eastAsia="仿宋_GB2312" w:cs="宋体"/>
          <w:kern w:val="0"/>
          <w:sz w:val="32"/>
          <w:szCs w:val="32"/>
          <w:lang w:val="en-US" w:eastAsia="zh-CN" w:bidi="ar-SA"/>
        </w:rPr>
        <w:t>、医疗仪器设备及器械</w:t>
      </w:r>
      <w:r>
        <w:rPr>
          <w:rFonts w:ascii="Times New Roman" w:hAnsi="Times New Roman" w:eastAsia="仿宋_GB2312" w:cs="宋体"/>
          <w:kern w:val="0"/>
          <w:sz w:val="32"/>
          <w:szCs w:val="32"/>
          <w:lang w:val="en-US" w:eastAsia="zh-CN" w:bidi="ar-SA"/>
        </w:rPr>
        <w:t>、营养保健品</w:t>
      </w:r>
      <w:r>
        <w:rPr>
          <w:rFonts w:hint="eastAsia" w:ascii="Times New Roman" w:hAnsi="Times New Roman" w:eastAsia="仿宋_GB2312" w:cs="宋体"/>
          <w:kern w:val="0"/>
          <w:sz w:val="32"/>
          <w:szCs w:val="32"/>
          <w:lang w:val="en-US" w:eastAsia="zh-CN" w:bidi="ar-SA"/>
        </w:rPr>
        <w:t>、生物制品</w:t>
      </w:r>
      <w:r>
        <w:rPr>
          <w:rFonts w:ascii="Times New Roman" w:hAnsi="Times New Roman" w:eastAsia="仿宋_GB2312" w:cs="宋体"/>
          <w:kern w:val="0"/>
          <w:sz w:val="32"/>
          <w:szCs w:val="32"/>
          <w:lang w:val="en-US" w:eastAsia="zh-CN" w:bidi="ar-SA"/>
        </w:rPr>
        <w:t>等。</w:t>
      </w:r>
      <w:r>
        <w:rPr>
          <w:rFonts w:hint="eastAsia" w:ascii="Times New Roman" w:hAnsi="Times New Roman" w:eastAsia="仿宋_GB2312" w:cs="宋体"/>
          <w:kern w:val="0"/>
          <w:sz w:val="32"/>
          <w:szCs w:val="32"/>
          <w:lang w:val="en-US" w:eastAsia="zh-CN" w:bidi="ar-SA"/>
        </w:rPr>
        <w:t>加快生物医药产业集聚化、规模化发展，拓宽及延伸生物医药产业链。</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县工业和信息化局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县卫生健康局</w:t>
      </w:r>
      <w:r>
        <w:rPr>
          <w:rFonts w:ascii="Times New Roman" w:hAnsi="Times New Roman" w:eastAsia="仿宋_GB2312" w:cs="宋体"/>
          <w:kern w:val="0"/>
          <w:sz w:val="32"/>
          <w:szCs w:val="32"/>
          <w:lang w:val="en-US" w:eastAsia="zh-CN" w:bidi="ar-SA"/>
        </w:rPr>
        <w:t>）</w:t>
      </w:r>
    </w:p>
    <w:p w14:paraId="2EC39074">
      <w:pPr>
        <w:pStyle w:val="14"/>
        <w:overflowPunct w:val="0"/>
        <w:autoSpaceDE w:val="0"/>
        <w:autoSpaceDN w:val="0"/>
        <w:adjustRightInd w:val="0"/>
        <w:snapToGrid w:val="0"/>
        <w:spacing w:line="360" w:lineRule="auto"/>
        <w:ind w:firstLine="64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稳定发展清洁能源。在稳定发展水电基础上，</w:t>
      </w:r>
      <w:r>
        <w:rPr>
          <w:rFonts w:ascii="Times New Roman" w:hAnsi="Times New Roman" w:eastAsia="仿宋_GB2312" w:cs="宋体"/>
          <w:kern w:val="0"/>
          <w:sz w:val="32"/>
          <w:szCs w:val="32"/>
          <w:lang w:val="en-US" w:eastAsia="zh-CN" w:bidi="ar-SA"/>
        </w:rPr>
        <w:t>优化风能、</w:t>
      </w:r>
      <w:r>
        <w:rPr>
          <w:rFonts w:hint="eastAsia" w:ascii="Times New Roman" w:hAnsi="Times New Roman" w:eastAsia="仿宋_GB2312" w:cs="宋体"/>
          <w:kern w:val="0"/>
          <w:sz w:val="32"/>
          <w:szCs w:val="32"/>
          <w:lang w:val="en-US" w:eastAsia="zh-CN" w:bidi="ar-SA"/>
        </w:rPr>
        <w:t>光伏太阳能、</w:t>
      </w:r>
      <w:r>
        <w:rPr>
          <w:rFonts w:ascii="Times New Roman" w:hAnsi="Times New Roman" w:eastAsia="仿宋_GB2312" w:cs="宋体"/>
          <w:kern w:val="0"/>
          <w:sz w:val="32"/>
          <w:szCs w:val="32"/>
          <w:lang w:val="en-US" w:eastAsia="zh-CN" w:bidi="ar-SA"/>
        </w:rPr>
        <w:t>水能资源结构，打造桂北清洁能源基地。</w:t>
      </w:r>
      <w:r>
        <w:rPr>
          <w:rFonts w:hint="eastAsia" w:ascii="Times New Roman" w:hAnsi="Times New Roman" w:eastAsia="仿宋_GB2312" w:cs="宋体"/>
          <w:kern w:val="0"/>
          <w:sz w:val="32"/>
          <w:szCs w:val="32"/>
          <w:lang w:val="en-US" w:eastAsia="zh-CN" w:bidi="ar-SA"/>
        </w:rPr>
        <w:t>适度开发风能、光伏太阳能、生物沼气、颗粒燃料等清洁能源。加快建成天湖、金峰岭、金鸡岭、磨子岭、白竹、凤凰山、凤凰岭、飞石岭等一批风电项目。大力支持水电企业采用先进技术进行扩能改造，大力支持风光互补、农光互补科学开发光伏发电项目，鼓励养殖集中区投资沼气发电，鼓励利用林产业加工废料、农业桔梗等为原料生产工业用颗粒燃料，</w:t>
      </w:r>
      <w:r>
        <w:rPr>
          <w:rFonts w:ascii="Times New Roman" w:hAnsi="Times New Roman" w:eastAsia="仿宋_GB2312" w:cs="宋体"/>
          <w:kern w:val="0"/>
          <w:sz w:val="32"/>
          <w:szCs w:val="32"/>
          <w:lang w:val="en-US" w:eastAsia="zh-CN" w:bidi="ar-SA"/>
        </w:rPr>
        <w:t>加快发展清洁能源产业。</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县工业和信息化局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县发展改革局、县农业农村局、各乡（镇）人民政府〕</w:t>
      </w:r>
    </w:p>
    <w:p w14:paraId="1B134ED7">
      <w:pPr>
        <w:pStyle w:val="27"/>
        <w:rPr>
          <w:rFonts w:ascii="Times New Roman" w:hAnsi="Times New Roman"/>
          <w:sz w:val="21"/>
          <w:szCs w:val="21"/>
        </w:rPr>
      </w:pPr>
    </w:p>
    <w:p w14:paraId="58E1214A">
      <w:pPr>
        <w:ind w:firstLine="616" w:firstLineChars="200"/>
        <w:rPr>
          <w:rFonts w:ascii="Times New Roman" w:hAnsi="Times New Roman" w:eastAsia="仿宋_GB2312" w:cs="宋体"/>
          <w:sz w:val="21"/>
          <w:szCs w:val="21"/>
        </w:rPr>
      </w:pPr>
      <w:bookmarkStart w:id="25" w:name="_Toc17238"/>
      <w:bookmarkStart w:id="26" w:name="_Toc32560"/>
      <w:r>
        <w:rPr>
          <w:rFonts w:hint="eastAsia" w:ascii="Times New Roman" w:hAnsi="Times New Roman" w:eastAsia="黑体" w:cs="黑体"/>
          <w:b w:val="0"/>
          <w:bCs w:val="0"/>
          <w:sz w:val="32"/>
          <w:szCs w:val="30"/>
        </w:rPr>
        <w:t>五、文旅康养引领带动  加快发展现代服务业</w:t>
      </w:r>
      <w:bookmarkEnd w:id="25"/>
      <w:bookmarkEnd w:id="26"/>
    </w:p>
    <w:p w14:paraId="62C4236A">
      <w:pPr>
        <w:pStyle w:val="14"/>
        <w:overflowPunct w:val="0"/>
        <w:autoSpaceDE w:val="0"/>
        <w:autoSpaceDN w:val="0"/>
        <w:adjustRightInd w:val="0"/>
        <w:snapToGrid w:val="0"/>
        <w:spacing w:line="360" w:lineRule="auto"/>
        <w:jc w:val="center"/>
        <w:rPr>
          <w:rStyle w:val="20"/>
          <w:rFonts w:ascii="Times New Roman" w:hAnsi="Times New Roman" w:cs="宋体"/>
          <w:b/>
          <w:sz w:val="21"/>
          <w:szCs w:val="21"/>
        </w:rPr>
      </w:pPr>
      <w:bookmarkStart w:id="27" w:name="_Toc19061"/>
    </w:p>
    <w:p w14:paraId="717A30E9">
      <w:pPr>
        <w:pStyle w:val="14"/>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sz w:val="32"/>
          <w:szCs w:val="30"/>
        </w:rPr>
      </w:pPr>
      <w:bookmarkStart w:id="28" w:name="_Toc9740"/>
      <w:r>
        <w:rPr>
          <w:rStyle w:val="20"/>
          <w:rFonts w:hint="eastAsia" w:ascii="Times New Roman" w:hAnsi="Times New Roman" w:eastAsia="楷体_GB2312" w:cs="楷体_GB2312"/>
          <w:b w:val="0"/>
          <w:bCs/>
          <w:sz w:val="32"/>
          <w:szCs w:val="32"/>
        </w:rPr>
        <w:t>第一节  加快发展旅游服务业</w:t>
      </w:r>
      <w:bookmarkEnd w:id="27"/>
      <w:bookmarkEnd w:id="28"/>
    </w:p>
    <w:p w14:paraId="173EFF86">
      <w:pPr>
        <w:pStyle w:val="14"/>
        <w:overflowPunct w:val="0"/>
        <w:autoSpaceDE w:val="0"/>
        <w:autoSpaceDN w:val="0"/>
        <w:adjustRightInd w:val="0"/>
        <w:snapToGrid w:val="0"/>
        <w:spacing w:line="360" w:lineRule="auto"/>
        <w:ind w:firstLine="396" w:firstLineChars="200"/>
        <w:jc w:val="both"/>
        <w:rPr>
          <w:rFonts w:ascii="Times New Roman" w:hAnsi="Times New Roman" w:eastAsia="仿宋_GB2312" w:cs="宋体"/>
          <w:sz w:val="21"/>
          <w:szCs w:val="21"/>
        </w:rPr>
      </w:pPr>
    </w:p>
    <w:p w14:paraId="47F5D311">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sz w:val="32"/>
          <w:szCs w:val="30"/>
        </w:rPr>
        <w:t>立足深厚的文化资源和丰富的旅游资源，树牢“旅游兴县、旅游富民”理念，把全域旅游作为产业转型的方向和富民强县的抓手，以全域旅游示范区验收标准为依据，坚持大力实施旅游服务标准化引领战略，强化对全县旅游品牌创建、提升景区管理、推进旅游服务升级，全面提升全县旅游产品质量与服务水平，使旅游市场规范、有序、健康发展，发展壮大红色旅游、康体运动、乡村公园、民俗体验产业，使旅游</w:t>
      </w:r>
      <w:r>
        <w:rPr>
          <w:rFonts w:hint="eastAsia" w:ascii="Times New Roman" w:hAnsi="Times New Roman" w:eastAsia="仿宋_GB2312" w:cs="宋体"/>
          <w:kern w:val="0"/>
          <w:sz w:val="32"/>
          <w:szCs w:val="32"/>
          <w:lang w:val="en-US" w:eastAsia="zh-CN" w:bidi="ar-SA"/>
        </w:rPr>
        <w:t>业成为新的战略性支柱产业。到2025年全县接待游客达到3000万人次、旅游综合总收入达350亿元，建成广西旅游优秀县。</w:t>
      </w:r>
    </w:p>
    <w:p w14:paraId="67E7B829">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构建全域旅游发展大格局。</w:t>
      </w:r>
      <w:r>
        <w:rPr>
          <w:rFonts w:ascii="Times New Roman" w:hAnsi="Times New Roman" w:eastAsia="仿宋_GB2312" w:cs="宋体"/>
          <w:kern w:val="0"/>
          <w:sz w:val="32"/>
          <w:szCs w:val="32"/>
          <w:lang w:val="en-US" w:eastAsia="zh-CN" w:bidi="ar-SA"/>
        </w:rPr>
        <w:t>紧紧抓住桂林国际旅游胜地建设及国家长征文化公园建设机遇，坚持“红</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绿</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古</w:t>
      </w:r>
      <w:r>
        <w:rPr>
          <w:rFonts w:hint="eastAsia" w:ascii="Times New Roman" w:hAnsi="Times New Roman" w:eastAsia="仿宋_GB2312" w:cs="宋体"/>
          <w:kern w:val="0"/>
          <w:sz w:val="32"/>
          <w:szCs w:val="32"/>
          <w:lang w:val="en-US" w:eastAsia="zh-CN" w:bidi="ar-SA"/>
        </w:rPr>
        <w:t>、乡</w:t>
      </w:r>
      <w:r>
        <w:rPr>
          <w:rFonts w:ascii="Times New Roman" w:hAnsi="Times New Roman" w:eastAsia="仿宋_GB2312" w:cs="宋体"/>
          <w:kern w:val="0"/>
          <w:sz w:val="32"/>
          <w:szCs w:val="32"/>
          <w:lang w:val="en-US" w:eastAsia="zh-CN" w:bidi="ar-SA"/>
        </w:rPr>
        <w:t>”并进</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构建以红色旅游为引领，以绿色、古色旅游为基础，以乡村生态旅游为补充，以旅游基础设施及公共服务设施为依托，构建形成</w:t>
      </w:r>
      <w:r>
        <w:rPr>
          <w:rFonts w:hint="eastAsia" w:ascii="Times New Roman" w:hAnsi="Times New Roman" w:eastAsia="仿宋_GB2312" w:cs="宋体"/>
          <w:kern w:val="0"/>
          <w:sz w:val="32"/>
          <w:szCs w:val="32"/>
          <w:lang w:val="en-US" w:eastAsia="zh-CN" w:bidi="ar-SA"/>
        </w:rPr>
        <w:t>南融八桂、北通潇湘及长江经济带、东达粤赣、西至黔渝的全域旅游大格局</w:t>
      </w:r>
      <w:r>
        <w:rPr>
          <w:rFonts w:ascii="Times New Roman" w:hAnsi="Times New Roman" w:eastAsia="仿宋_GB2312" w:cs="宋体"/>
          <w:kern w:val="0"/>
          <w:sz w:val="32"/>
          <w:szCs w:val="32"/>
          <w:lang w:val="en-US" w:eastAsia="zh-CN" w:bidi="ar-SA"/>
        </w:rPr>
        <w:t>。</w:t>
      </w:r>
      <w:r>
        <w:rPr>
          <w:rFonts w:hint="eastAsia" w:ascii="Times New Roman" w:hAnsi="Times New Roman" w:eastAsia="仿宋_GB2312" w:cs="宋体"/>
          <w:kern w:val="0"/>
          <w:sz w:val="32"/>
          <w:szCs w:val="32"/>
          <w:lang w:val="en-US" w:eastAsia="zh-CN" w:bidi="ar-SA"/>
        </w:rPr>
        <w:t>全面建设长征国家文化公园（全州段）</w:t>
      </w:r>
      <w:r>
        <w:rPr>
          <w:rFonts w:ascii="Times New Roman" w:hAnsi="Times New Roman" w:eastAsia="仿宋_GB2312" w:cs="宋体"/>
          <w:kern w:val="0"/>
          <w:sz w:val="32"/>
          <w:szCs w:val="32"/>
          <w:lang w:val="en-US" w:eastAsia="zh-CN" w:bidi="ar-SA"/>
        </w:rPr>
        <w:t>提档升级红军长征湘江战役纪念园，</w:t>
      </w:r>
      <w:r>
        <w:rPr>
          <w:rFonts w:hint="eastAsia" w:ascii="Times New Roman" w:hAnsi="Times New Roman" w:eastAsia="仿宋_GB2312" w:cs="宋体"/>
          <w:kern w:val="0"/>
          <w:sz w:val="32"/>
          <w:szCs w:val="32"/>
          <w:lang w:val="en-US" w:eastAsia="zh-CN" w:bidi="ar-SA"/>
        </w:rPr>
        <w:t>规划建设“红色湘江”田园综合体，</w:t>
      </w:r>
      <w:r>
        <w:rPr>
          <w:rFonts w:ascii="Times New Roman" w:hAnsi="Times New Roman" w:eastAsia="仿宋_GB2312" w:cs="宋体"/>
          <w:kern w:val="0"/>
          <w:sz w:val="32"/>
          <w:szCs w:val="32"/>
          <w:lang w:val="en-US" w:eastAsia="zh-CN" w:bidi="ar-SA"/>
        </w:rPr>
        <w:t>整体建设</w:t>
      </w:r>
      <w:r>
        <w:rPr>
          <w:rFonts w:hint="eastAsia" w:ascii="Times New Roman" w:hAnsi="Times New Roman" w:eastAsia="仿宋_GB2312" w:cs="宋体"/>
          <w:kern w:val="0"/>
          <w:sz w:val="32"/>
          <w:szCs w:val="32"/>
          <w:lang w:val="en-US" w:eastAsia="zh-CN" w:bidi="ar-SA"/>
        </w:rPr>
        <w:t>沿湘江</w:t>
      </w:r>
      <w:r>
        <w:rPr>
          <w:rFonts w:ascii="Times New Roman" w:hAnsi="Times New Roman" w:eastAsia="仿宋_GB2312" w:cs="宋体"/>
          <w:kern w:val="0"/>
          <w:sz w:val="32"/>
          <w:szCs w:val="32"/>
          <w:lang w:val="en-US" w:eastAsia="zh-CN" w:bidi="ar-SA"/>
        </w:rPr>
        <w:t>凤凰嘴、大坪渡、屏山渡纪念设施与水陆景观设施，新建古岭头、安和文塘、红七军小型纪念公园，沿长征路线与红军路线建设一批红色精品旅游线路。充分利用优美的自然</w:t>
      </w:r>
      <w:r>
        <w:rPr>
          <w:rFonts w:hint="eastAsia" w:ascii="Times New Roman" w:hAnsi="Times New Roman" w:eastAsia="仿宋_GB2312" w:cs="宋体"/>
          <w:kern w:val="0"/>
          <w:sz w:val="32"/>
          <w:szCs w:val="32"/>
          <w:lang w:val="en-US" w:eastAsia="zh-CN" w:bidi="ar-SA"/>
        </w:rPr>
        <w:t>生态</w:t>
      </w:r>
      <w:r>
        <w:rPr>
          <w:rFonts w:ascii="Times New Roman" w:hAnsi="Times New Roman" w:eastAsia="仿宋_GB2312" w:cs="宋体"/>
          <w:kern w:val="0"/>
          <w:sz w:val="32"/>
          <w:szCs w:val="32"/>
          <w:lang w:val="en-US" w:eastAsia="zh-CN" w:bidi="ar-SA"/>
        </w:rPr>
        <w:t>，打造集生态观光、休闲度假、康养保健为一体的旅游目的地。充分</w:t>
      </w:r>
      <w:r>
        <w:rPr>
          <w:rFonts w:hint="eastAsia" w:ascii="Times New Roman" w:hAnsi="Times New Roman" w:eastAsia="仿宋_GB2312" w:cs="宋体"/>
          <w:kern w:val="0"/>
          <w:sz w:val="32"/>
          <w:szCs w:val="32"/>
          <w:lang w:val="en-US" w:eastAsia="zh-CN" w:bidi="ar-SA"/>
        </w:rPr>
        <w:t>发掘</w:t>
      </w:r>
      <w:r>
        <w:rPr>
          <w:rFonts w:ascii="Times New Roman" w:hAnsi="Times New Roman" w:eastAsia="仿宋_GB2312" w:cs="宋体"/>
          <w:kern w:val="0"/>
          <w:sz w:val="32"/>
          <w:szCs w:val="32"/>
          <w:lang w:val="en-US" w:eastAsia="zh-CN" w:bidi="ar-SA"/>
        </w:rPr>
        <w:t>非物质文化遗产资源与历史文化名人资源，打造考古、鉴古、品古旅游目的地。推进旅游基础设施</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开发建设智慧旅游，创建“一键游全州”平台，全面提升全州旅游舒适度与便捷度。</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县文化广电体育和旅游局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全州湘江战役文保传承中心、各乡（镇）人民政府〕</w:t>
      </w:r>
    </w:p>
    <w:p w14:paraId="412E26BE">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重点旅游项目基础设施建设。继续推进天湖、湘山·湘源、三江口、炎井温泉、石塘天坑、湘江战役遗址、茶花谷、思源博物馆、大碧头休闲旅游基地、安和龙井、石塘镇天坑等景点（区）的后续开发建设，积极做好长征国家文化公园（全州段）的建设工作，全力推进湘江两岸红色湘江田园综合体项目建设。建设一批特色农业田园综合体、乡村旅游景点及体旅融合综合体。加快旅游景区路网、中高端品牌酒店、汽车旅馆、自驾车野营露宿基地、乡村旅馆、旅游集散中心、旅游厕所、标识系统以及停车场等配套服务设施建设。加快推进县游客集散中心与咨询中心、主要景区连通道路和停车场建设，加强乡村旅游厕所建设和改造；加快开通城区至各主要旅游区公交专线。大力推进数字景区建设，完善电力、通信等基础设施；积极谋划</w:t>
      </w:r>
      <w:r>
        <w:rPr>
          <w:rFonts w:ascii="Times New Roman" w:hAnsi="Times New Roman" w:eastAsia="仿宋_GB2312" w:cs="宋体"/>
          <w:kern w:val="0"/>
          <w:sz w:val="32"/>
          <w:szCs w:val="32"/>
          <w:lang w:val="en-US" w:eastAsia="zh-CN" w:bidi="ar-SA"/>
        </w:rPr>
        <w:t>通用航空项目</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到202</w:t>
      </w:r>
      <w:r>
        <w:rPr>
          <w:rFonts w:hint="eastAsia" w:ascii="Times New Roman" w:hAnsi="Times New Roman" w:eastAsia="仿宋_GB2312" w:cs="宋体"/>
          <w:kern w:val="0"/>
          <w:sz w:val="32"/>
          <w:szCs w:val="32"/>
          <w:lang w:val="en-US" w:eastAsia="zh-CN" w:bidi="ar-SA"/>
        </w:rPr>
        <w:t>5</w:t>
      </w:r>
      <w:r>
        <w:rPr>
          <w:rFonts w:ascii="Times New Roman" w:hAnsi="Times New Roman" w:eastAsia="仿宋_GB2312" w:cs="宋体"/>
          <w:kern w:val="0"/>
          <w:sz w:val="32"/>
          <w:szCs w:val="32"/>
          <w:lang w:val="en-US" w:eastAsia="zh-CN" w:bidi="ar-SA"/>
        </w:rPr>
        <w:t>年，全县建成</w:t>
      </w:r>
      <w:r>
        <w:rPr>
          <w:rFonts w:hint="eastAsia" w:ascii="Times New Roman" w:hAnsi="Times New Roman" w:eastAsia="仿宋_GB2312" w:cs="宋体"/>
          <w:kern w:val="0"/>
          <w:sz w:val="32"/>
          <w:szCs w:val="32"/>
          <w:lang w:val="en-US" w:eastAsia="zh-CN" w:bidi="ar-SA"/>
        </w:rPr>
        <w:t>3</w:t>
      </w:r>
      <w:r>
        <w:rPr>
          <w:rFonts w:ascii="Times New Roman" w:hAnsi="Times New Roman" w:eastAsia="仿宋_GB2312" w:cs="宋体"/>
          <w:kern w:val="0"/>
          <w:sz w:val="32"/>
          <w:szCs w:val="32"/>
          <w:lang w:val="en-US" w:eastAsia="zh-CN" w:bidi="ar-SA"/>
        </w:rPr>
        <w:t>个以上运作成功、功能完备、全国全区知名的</w:t>
      </w:r>
      <w:r>
        <w:rPr>
          <w:rFonts w:hint="eastAsia" w:ascii="Times New Roman" w:hAnsi="Times New Roman" w:eastAsia="仿宋_GB2312" w:cs="宋体"/>
          <w:kern w:val="0"/>
          <w:sz w:val="32"/>
          <w:szCs w:val="32"/>
          <w:lang w:val="en-US" w:eastAsia="zh-CN" w:bidi="ar-SA"/>
        </w:rPr>
        <w:t>5A级</w:t>
      </w:r>
      <w:r>
        <w:rPr>
          <w:rFonts w:ascii="Times New Roman" w:hAnsi="Times New Roman" w:eastAsia="仿宋_GB2312" w:cs="宋体"/>
          <w:kern w:val="0"/>
          <w:sz w:val="32"/>
          <w:szCs w:val="32"/>
          <w:lang w:val="en-US" w:eastAsia="zh-CN" w:bidi="ar-SA"/>
        </w:rPr>
        <w:t>旅游景区。</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县文化广电体育和旅游局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县农业农村局、县乡村振兴局、各乡（镇）人民政府〕</w:t>
      </w:r>
    </w:p>
    <w:p w14:paraId="036FDA9F">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重点推进旅游产品开发。将全县作为一个大景区来谋划，加快以“红、绿、古、乡”为核心的特色景区、精品旅游线路的开发建设，提升景区品味，增加市场吸引力。重点开发湘江战役长征国家文化公园（全州段）项目建设，以红军长征湘江战役为核心依托，以红军长征湘江战役纪念园为龙头，以湘江两岸红色湘江田园综合体为引领，以县城经济、康体运动、乡村公园、民俗体验为重要支撑，全面开启全州红色旅游发展升级之路。依托长征国家文化公园（全州段）建设，做大做强红色教育培训及红色文化体验、乡村（古村）文化体验和绿色生态观光康养等三大特色品牌精品旅游，明确“一镇一主题、一村一特色”定位。深挖县城山水、人文景观，构筑</w:t>
      </w:r>
      <w:r>
        <w:rPr>
          <w:rFonts w:hint="eastAsia" w:ascii="Times New Roman" w:hAnsi="Times New Roman" w:eastAsia="仿宋_GB2312" w:cs="宋体"/>
          <w:color w:val="auto"/>
          <w:kern w:val="0"/>
          <w:sz w:val="32"/>
          <w:szCs w:val="32"/>
          <w:lang w:val="en-US" w:eastAsia="zh-CN" w:bidi="ar-SA"/>
        </w:rPr>
        <w:t>“三江、三山、三塔”三足鼎立的城市景观格局；加速推进历史名楼景观楼重建、雷公岭国家矿山公园、镇湘塔公园、湘山文化园、天湖滑雪场冬训基地、大碧头、湘山酒业、思源博物馆及沿灌江步道、湘源文化公园、茶花谷、安和龙井、炎井温泉等项目新建续建工作，</w:t>
      </w:r>
      <w:r>
        <w:rPr>
          <w:rFonts w:hint="eastAsia" w:ascii="Times New Roman" w:hAnsi="Times New Roman" w:eastAsia="仿宋_GB2312" w:cs="宋体"/>
          <w:kern w:val="0"/>
          <w:sz w:val="32"/>
          <w:szCs w:val="32"/>
          <w:lang w:val="en-US" w:eastAsia="zh-CN" w:bidi="ar-SA"/>
        </w:rPr>
        <w:t>争创国家4A级旅游景区。</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县文化广电体育和旅游局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全州湘江战役文保传承中心、各乡（镇）人民政府〕</w:t>
      </w:r>
    </w:p>
    <w:p w14:paraId="5156CCD1">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推动文旅融合高质量发展。</w:t>
      </w:r>
      <w:r>
        <w:rPr>
          <w:rFonts w:ascii="Times New Roman" w:hAnsi="Times New Roman" w:eastAsia="仿宋_GB2312" w:cs="宋体"/>
          <w:kern w:val="0"/>
          <w:sz w:val="32"/>
          <w:szCs w:val="32"/>
          <w:lang w:val="en-US" w:eastAsia="zh-CN" w:bidi="ar-SA"/>
        </w:rPr>
        <w:t>大力实施“旅游+” “文旅+”战略，有步骤推进文化旅游与农林、科教、体卫、工</w:t>
      </w:r>
      <w:r>
        <w:rPr>
          <w:rFonts w:hint="eastAsia" w:ascii="Times New Roman" w:hAnsi="Times New Roman" w:eastAsia="仿宋_GB2312" w:cs="宋体"/>
          <w:kern w:val="0"/>
          <w:sz w:val="32"/>
          <w:szCs w:val="32"/>
          <w:lang w:val="en-US" w:eastAsia="zh-CN" w:bidi="ar-SA"/>
        </w:rPr>
        <w:t>业</w:t>
      </w:r>
      <w:r>
        <w:rPr>
          <w:rFonts w:ascii="Times New Roman" w:hAnsi="Times New Roman" w:eastAsia="仿宋_GB2312" w:cs="宋体"/>
          <w:kern w:val="0"/>
          <w:sz w:val="32"/>
          <w:szCs w:val="32"/>
          <w:lang w:val="en-US" w:eastAsia="zh-CN" w:bidi="ar-SA"/>
        </w:rPr>
        <w:t>、城建等行业融合发展。</w:t>
      </w:r>
      <w:r>
        <w:rPr>
          <w:rFonts w:hint="eastAsia" w:ascii="Times New Roman" w:hAnsi="Times New Roman" w:eastAsia="仿宋_GB2312" w:cs="宋体"/>
          <w:kern w:val="0"/>
          <w:sz w:val="32"/>
          <w:szCs w:val="32"/>
          <w:lang w:val="en-US" w:eastAsia="zh-CN" w:bidi="ar-SA"/>
        </w:rPr>
        <w:t>重点</w:t>
      </w:r>
      <w:r>
        <w:rPr>
          <w:rFonts w:ascii="Times New Roman" w:hAnsi="Times New Roman" w:eastAsia="仿宋_GB2312" w:cs="宋体"/>
          <w:kern w:val="0"/>
          <w:sz w:val="32"/>
          <w:szCs w:val="32"/>
          <w:lang w:val="en-US" w:eastAsia="zh-CN" w:bidi="ar-SA"/>
        </w:rPr>
        <w:t>提升</w:t>
      </w:r>
      <w:r>
        <w:rPr>
          <w:rFonts w:hint="eastAsia" w:ascii="Times New Roman" w:hAnsi="Times New Roman" w:eastAsia="仿宋_GB2312" w:cs="宋体"/>
          <w:kern w:val="0"/>
          <w:sz w:val="32"/>
          <w:szCs w:val="32"/>
          <w:lang w:val="en-US" w:eastAsia="zh-CN" w:bidi="ar-SA"/>
        </w:rPr>
        <w:t>生态康养、古迹品鉴</w:t>
      </w:r>
      <w:r>
        <w:rPr>
          <w:rFonts w:ascii="Times New Roman" w:hAnsi="Times New Roman" w:eastAsia="仿宋_GB2312" w:cs="宋体"/>
          <w:kern w:val="0"/>
          <w:sz w:val="32"/>
          <w:szCs w:val="32"/>
          <w:lang w:val="en-US" w:eastAsia="zh-CN" w:bidi="ar-SA"/>
        </w:rPr>
        <w:t>、红色</w:t>
      </w:r>
      <w:r>
        <w:rPr>
          <w:rFonts w:hint="eastAsia" w:ascii="Times New Roman" w:hAnsi="Times New Roman" w:eastAsia="仿宋_GB2312" w:cs="宋体"/>
          <w:kern w:val="0"/>
          <w:sz w:val="32"/>
          <w:szCs w:val="32"/>
          <w:lang w:val="en-US" w:eastAsia="zh-CN" w:bidi="ar-SA"/>
        </w:rPr>
        <w:t>体验</w:t>
      </w:r>
      <w:r>
        <w:rPr>
          <w:rFonts w:ascii="Times New Roman" w:hAnsi="Times New Roman" w:eastAsia="仿宋_GB2312" w:cs="宋体"/>
          <w:kern w:val="0"/>
          <w:sz w:val="32"/>
          <w:szCs w:val="32"/>
          <w:lang w:val="en-US" w:eastAsia="zh-CN" w:bidi="ar-SA"/>
        </w:rPr>
        <w:t>等特色旅游</w:t>
      </w:r>
      <w:r>
        <w:rPr>
          <w:rFonts w:hint="eastAsia" w:ascii="Times New Roman" w:hAnsi="Times New Roman" w:eastAsia="仿宋_GB2312" w:cs="宋体"/>
          <w:kern w:val="0"/>
          <w:sz w:val="32"/>
          <w:szCs w:val="32"/>
          <w:lang w:val="en-US" w:eastAsia="zh-CN" w:bidi="ar-SA"/>
        </w:rPr>
        <w:t>项目，积极谋划建设</w:t>
      </w:r>
      <w:r>
        <w:rPr>
          <w:rFonts w:ascii="Times New Roman" w:hAnsi="Times New Roman" w:eastAsia="仿宋_GB2312" w:cs="宋体"/>
          <w:kern w:val="0"/>
          <w:sz w:val="32"/>
          <w:szCs w:val="32"/>
          <w:lang w:val="en-US" w:eastAsia="zh-CN" w:bidi="ar-SA"/>
        </w:rPr>
        <w:t>山水度假、生态休闲、民俗文化等</w:t>
      </w:r>
      <w:r>
        <w:rPr>
          <w:rFonts w:hint="eastAsia" w:ascii="Times New Roman" w:hAnsi="Times New Roman" w:eastAsia="仿宋_GB2312" w:cs="宋体"/>
          <w:kern w:val="0"/>
          <w:sz w:val="32"/>
          <w:szCs w:val="32"/>
          <w:lang w:val="en-US" w:eastAsia="zh-CN" w:bidi="ar-SA"/>
        </w:rPr>
        <w:t>一批</w:t>
      </w:r>
      <w:r>
        <w:rPr>
          <w:rFonts w:ascii="Times New Roman" w:hAnsi="Times New Roman" w:eastAsia="仿宋_GB2312" w:cs="宋体"/>
          <w:kern w:val="0"/>
          <w:sz w:val="32"/>
          <w:szCs w:val="32"/>
          <w:lang w:val="en-US" w:eastAsia="zh-CN" w:bidi="ar-SA"/>
        </w:rPr>
        <w:t>体验型</w:t>
      </w:r>
      <w:r>
        <w:rPr>
          <w:rFonts w:hint="eastAsia" w:ascii="Times New Roman" w:hAnsi="Times New Roman" w:eastAsia="仿宋_GB2312" w:cs="宋体"/>
          <w:kern w:val="0"/>
          <w:sz w:val="32"/>
          <w:szCs w:val="32"/>
          <w:lang w:val="en-US" w:eastAsia="zh-CN" w:bidi="ar-SA"/>
        </w:rPr>
        <w:t>综合</w:t>
      </w:r>
      <w:r>
        <w:rPr>
          <w:rFonts w:ascii="Times New Roman" w:hAnsi="Times New Roman" w:eastAsia="仿宋_GB2312" w:cs="宋体"/>
          <w:kern w:val="0"/>
          <w:sz w:val="32"/>
          <w:szCs w:val="32"/>
          <w:lang w:val="en-US" w:eastAsia="zh-CN" w:bidi="ar-SA"/>
        </w:rPr>
        <w:t>旅游</w:t>
      </w:r>
      <w:r>
        <w:rPr>
          <w:rFonts w:hint="eastAsia" w:ascii="Times New Roman" w:hAnsi="Times New Roman" w:eastAsia="仿宋_GB2312" w:cs="宋体"/>
          <w:kern w:val="0"/>
          <w:sz w:val="32"/>
          <w:szCs w:val="32"/>
          <w:lang w:val="en-US" w:eastAsia="zh-CN" w:bidi="ar-SA"/>
        </w:rPr>
        <w:t>项目</w:t>
      </w:r>
      <w:r>
        <w:rPr>
          <w:rFonts w:ascii="Times New Roman" w:hAnsi="Times New Roman" w:eastAsia="仿宋_GB2312" w:cs="宋体"/>
          <w:kern w:val="0"/>
          <w:sz w:val="32"/>
          <w:szCs w:val="32"/>
          <w:lang w:val="en-US" w:eastAsia="zh-CN" w:bidi="ar-SA"/>
        </w:rPr>
        <w:t>，</w:t>
      </w:r>
      <w:r>
        <w:rPr>
          <w:rFonts w:hint="eastAsia" w:ascii="Times New Roman" w:hAnsi="Times New Roman" w:eastAsia="仿宋_GB2312" w:cs="宋体"/>
          <w:kern w:val="0"/>
          <w:sz w:val="32"/>
          <w:szCs w:val="32"/>
          <w:lang w:val="en-US" w:eastAsia="zh-CN" w:bidi="ar-SA"/>
        </w:rPr>
        <w:t>挖掘文化旅游元素，提升旅游价值。</w:t>
      </w:r>
      <w:r>
        <w:rPr>
          <w:rFonts w:ascii="Times New Roman" w:hAnsi="Times New Roman" w:eastAsia="仿宋_GB2312" w:cs="宋体"/>
          <w:kern w:val="0"/>
          <w:sz w:val="32"/>
          <w:szCs w:val="32"/>
          <w:lang w:val="en-US" w:eastAsia="zh-CN" w:bidi="ar-SA"/>
        </w:rPr>
        <w:t>全力推进红色文化与旅游融合发展，全面深入科学挖掘全州长征文化资源、红七军资源、抗战资源、桂北游击队资源</w:t>
      </w:r>
      <w:r>
        <w:rPr>
          <w:rFonts w:hint="eastAsia" w:ascii="Times New Roman" w:hAnsi="Times New Roman" w:eastAsia="仿宋_GB2312" w:cs="宋体"/>
          <w:kern w:val="0"/>
          <w:sz w:val="32"/>
          <w:szCs w:val="32"/>
          <w:lang w:val="en-US" w:eastAsia="zh-CN" w:bidi="ar-SA"/>
        </w:rPr>
        <w:t>等</w:t>
      </w:r>
      <w:r>
        <w:rPr>
          <w:rFonts w:ascii="Times New Roman" w:hAnsi="Times New Roman" w:eastAsia="仿宋_GB2312" w:cs="宋体"/>
          <w:kern w:val="0"/>
          <w:sz w:val="32"/>
          <w:szCs w:val="32"/>
          <w:lang w:val="en-US" w:eastAsia="zh-CN" w:bidi="ar-SA"/>
        </w:rPr>
        <w:t>红色资源，建设湘江战役</w:t>
      </w:r>
      <w:r>
        <w:rPr>
          <w:rFonts w:hint="eastAsia" w:ascii="Times New Roman" w:hAnsi="Times New Roman" w:eastAsia="仿宋_GB2312" w:cs="宋体"/>
          <w:kern w:val="0"/>
          <w:sz w:val="32"/>
          <w:szCs w:val="32"/>
          <w:lang w:val="en-US" w:eastAsia="zh-CN" w:bidi="ar-SA"/>
        </w:rPr>
        <w:t>红色</w:t>
      </w:r>
      <w:r>
        <w:rPr>
          <w:rFonts w:ascii="Times New Roman" w:hAnsi="Times New Roman" w:eastAsia="仿宋_GB2312" w:cs="宋体"/>
          <w:kern w:val="0"/>
          <w:sz w:val="32"/>
          <w:szCs w:val="32"/>
          <w:lang w:val="en-US" w:eastAsia="zh-CN" w:bidi="ar-SA"/>
        </w:rPr>
        <w:t>演</w:t>
      </w:r>
      <w:r>
        <w:rPr>
          <w:rFonts w:hint="eastAsia" w:ascii="Times New Roman" w:hAnsi="Times New Roman" w:eastAsia="仿宋_GB2312" w:cs="宋体"/>
          <w:kern w:val="0"/>
          <w:sz w:val="32"/>
          <w:szCs w:val="32"/>
          <w:lang w:val="en-US" w:eastAsia="zh-CN" w:bidi="ar-SA"/>
        </w:rPr>
        <w:t>艺</w:t>
      </w:r>
      <w:r>
        <w:rPr>
          <w:rFonts w:ascii="Times New Roman" w:hAnsi="Times New Roman" w:eastAsia="仿宋_GB2312" w:cs="宋体"/>
          <w:kern w:val="0"/>
          <w:sz w:val="32"/>
          <w:szCs w:val="32"/>
          <w:lang w:val="en-US" w:eastAsia="zh-CN" w:bidi="ar-SA"/>
        </w:rPr>
        <w:t>基地，创建全州红色文化创客基地</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打造1</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2个享誉全国的红色文化旅游品牌。做好湘山.湘源历史文化</w:t>
      </w:r>
      <w:r>
        <w:rPr>
          <w:rFonts w:hint="eastAsia" w:ascii="Times New Roman" w:hAnsi="Times New Roman" w:eastAsia="仿宋_GB2312" w:cs="宋体"/>
          <w:kern w:val="0"/>
          <w:sz w:val="32"/>
          <w:szCs w:val="32"/>
          <w:lang w:val="en-US" w:eastAsia="zh-CN" w:bidi="ar-SA"/>
        </w:rPr>
        <w:t>开发</w:t>
      </w:r>
      <w:r>
        <w:rPr>
          <w:rFonts w:ascii="Times New Roman" w:hAnsi="Times New Roman" w:eastAsia="仿宋_GB2312" w:cs="宋体"/>
          <w:kern w:val="0"/>
          <w:sz w:val="32"/>
          <w:szCs w:val="32"/>
          <w:lang w:val="en-US" w:eastAsia="zh-CN" w:bidi="ar-SA"/>
        </w:rPr>
        <w:t>建设，</w:t>
      </w:r>
      <w:r>
        <w:rPr>
          <w:rFonts w:hint="eastAsia" w:ascii="Times New Roman" w:hAnsi="Times New Roman" w:eastAsia="仿宋_GB2312" w:cs="宋体"/>
          <w:kern w:val="0"/>
          <w:sz w:val="32"/>
          <w:szCs w:val="32"/>
          <w:lang w:val="en-US" w:eastAsia="zh-CN" w:bidi="ar-SA"/>
        </w:rPr>
        <w:t>立足湘山寺楚南第一名刹优势，大力弘扬寿佛文化、禅修文化，促进特色文化旅游发展，</w:t>
      </w:r>
      <w:r>
        <w:rPr>
          <w:rFonts w:ascii="Times New Roman" w:hAnsi="Times New Roman" w:eastAsia="仿宋_GB2312" w:cs="宋体"/>
          <w:kern w:val="0"/>
          <w:sz w:val="32"/>
          <w:szCs w:val="32"/>
          <w:lang w:val="en-US" w:eastAsia="zh-CN" w:bidi="ar-SA"/>
        </w:rPr>
        <w:t>塑造全州历史文化地标精品；做好</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禾花鱼</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醋血鸭</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红油米粉</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姜茶</w:t>
      </w:r>
      <w:r>
        <w:rPr>
          <w:rFonts w:hint="eastAsia" w:ascii="Times New Roman" w:hAnsi="Times New Roman" w:eastAsia="仿宋_GB2312" w:cs="宋体"/>
          <w:kern w:val="0"/>
          <w:sz w:val="32"/>
          <w:szCs w:val="32"/>
          <w:lang w:val="en-US" w:eastAsia="zh-CN" w:bidi="ar-SA"/>
        </w:rPr>
        <w:t>”</w:t>
      </w:r>
      <w:r>
        <w:rPr>
          <w:rFonts w:ascii="Times New Roman" w:hAnsi="Times New Roman" w:eastAsia="仿宋_GB2312" w:cs="宋体"/>
          <w:kern w:val="0"/>
          <w:sz w:val="32"/>
          <w:szCs w:val="32"/>
          <w:lang w:val="en-US" w:eastAsia="zh-CN" w:bidi="ar-SA"/>
        </w:rPr>
        <w:t>等地方小吃开发，塑造全州美食精品；做好非物质文化遗产保护开发，塑造全州文化体验精品；做好农林渔水示范基地建设，塑造全州生态体验精品。</w:t>
      </w:r>
      <w:r>
        <w:rPr>
          <w:rFonts w:hint="eastAsia" w:ascii="Times New Roman" w:hAnsi="Times New Roman" w:eastAsia="仿宋_GB2312" w:cs="宋体"/>
          <w:kern w:val="0"/>
          <w:sz w:val="32"/>
          <w:szCs w:val="32"/>
          <w:lang w:val="en-US" w:eastAsia="zh-CN" w:bidi="ar-SA"/>
        </w:rPr>
        <w:t>支持建设一批特色旅游商品研发、生产基地和购物场所，加快剪纸、陶瓷、竹编、特色农副产品等具有地方特色和文化内涵旅游商品和纪念品开发。加快旅游人才引进和培养，提升行业从业人员水平。到2025年，形成10000张床位以上的接待能力，建设多个智慧旅游乡村。</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县文化广电体育和旅游局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全州湘江战役文保传承中心、各乡（镇）人民政府〕</w:t>
      </w:r>
    </w:p>
    <w:p w14:paraId="2040CF27">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突出红色文化引领。加快推进国家长征文化公园（全州段）暨全州县“红色湘江”旅游景区建设，按照湘江战役纪念园“一中心”、湘江岸线和湘桂古道沿线“两条线”、“红色文化+旅游”、“红色文化+乡村振兴”、“红</w:t>
      </w:r>
      <w:r>
        <w:rPr>
          <w:rFonts w:hint="eastAsia" w:ascii="Times New Roman" w:hAnsi="Times New Roman" w:eastAsia="仿宋_GB2312" w:cs="宋体"/>
          <w:color w:val="auto"/>
          <w:kern w:val="0"/>
          <w:sz w:val="32"/>
          <w:szCs w:val="32"/>
          <w:lang w:val="en-US" w:eastAsia="zh-CN" w:bidi="ar-SA"/>
        </w:rPr>
        <w:t>色文化+工业发展”“三个加”思路，加快“九个一”项目建设，辐射带动周边红色旅游大发展。全面加强湘江战役主题红色文化保护利用，加快湘江战役红军遗骸收殓保护和相关纪念设施规划建设，统筹推进湘江战役长征国家文化公园（全州段）、“不忘初心、牢记使命”（湘江战役）教育基地、红色文化研学基地、红色文化演艺基地、屏山渡口红军突破湘江遗址区、大坪渡口红军突破遗址区、杨梅山阻击战纪念区、古岭头突围战纪念区、文塘红34师纪念区、凤凰嘴至三江口湘江漂流缅</w:t>
      </w:r>
      <w:r>
        <w:rPr>
          <w:rFonts w:hint="eastAsia" w:ascii="Times New Roman" w:hAnsi="Times New Roman" w:eastAsia="仿宋_GB2312" w:cs="宋体"/>
          <w:kern w:val="0"/>
          <w:sz w:val="32"/>
          <w:szCs w:val="32"/>
          <w:lang w:val="en-US" w:eastAsia="zh-CN" w:bidi="ar-SA"/>
        </w:rPr>
        <w:t>怀区建设。加快探索建设连接全州、兴安、资源三县重要遗址点的桂北红色文化旅游大通道，以湘江战役觉山铺旧址、两河湘桂古道为重点，打造桂北红色文化旅游精品线路，推进景点联线组团开发，促进红色文旅区域融合发展。</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县文化广电体育和旅游局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全州湘江战役文保传承中心、各乡（镇）人民政府〕</w:t>
      </w:r>
    </w:p>
    <w:p w14:paraId="4E36FE0E">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加强旅游形象宣传推广。加强旅游营销推介，办好全州旅游文化节，打响全州品牌。积极利用节庆、会展、体育赛事、网络营销、城市品牌推广、网红直播等多种手段，加大宣传促销力度。探索实施与国际、国内旅游名市、名县建立友好城市和旅游发展共享城市联盟。抓住湘江战役红色文化资源优势，充分利用各种节庆活动，提升全州整体旅游形象。积极争取和主动承接国家、自治区、市各级体育赛事，积极谋划一系列区域性体育活动，积极参加各类展会，大力推介全州旅游资源。依托“互联网+”，探索开辟网红直播、专业旅游网站实施“一部手机游全州”。</w:t>
      </w:r>
      <w:bookmarkStart w:id="29" w:name="_Toc24325"/>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县文化广电体育和旅游局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县融媒体中心、全州湘江战役文保传承中心、</w:t>
      </w:r>
      <w:bookmarkEnd w:id="29"/>
      <w:bookmarkStart w:id="30" w:name="_Toc18478"/>
      <w:r>
        <w:rPr>
          <w:rFonts w:hint="eastAsia" w:ascii="Times New Roman" w:hAnsi="Times New Roman" w:eastAsia="仿宋_GB2312" w:cs="宋体"/>
          <w:kern w:val="0"/>
          <w:sz w:val="32"/>
          <w:szCs w:val="32"/>
          <w:lang w:val="en-US" w:eastAsia="zh-CN" w:bidi="ar-SA"/>
        </w:rPr>
        <w:t>各乡（镇）人民政府〕</w:t>
      </w:r>
    </w:p>
    <w:p w14:paraId="1759D05D">
      <w:pPr>
        <w:pStyle w:val="14"/>
        <w:overflowPunct w:val="0"/>
        <w:autoSpaceDE w:val="0"/>
        <w:autoSpaceDN w:val="0"/>
        <w:adjustRightInd w:val="0"/>
        <w:snapToGrid w:val="0"/>
        <w:spacing w:line="360" w:lineRule="auto"/>
        <w:ind w:firstLine="396" w:firstLineChars="200"/>
        <w:jc w:val="both"/>
        <w:rPr>
          <w:rFonts w:ascii="Times New Roman" w:hAnsi="Times New Roman" w:eastAsia="仿宋_GB2312" w:cs="宋体"/>
          <w:sz w:val="21"/>
          <w:szCs w:val="21"/>
        </w:rPr>
      </w:pPr>
      <w:bookmarkStart w:id="31" w:name="_Toc23956"/>
    </w:p>
    <w:p w14:paraId="263281DF">
      <w:pPr>
        <w:pStyle w:val="14"/>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sz w:val="32"/>
          <w:szCs w:val="30"/>
        </w:rPr>
      </w:pPr>
      <w:r>
        <w:rPr>
          <w:rStyle w:val="20"/>
          <w:rFonts w:hint="eastAsia" w:ascii="Times New Roman" w:hAnsi="Times New Roman" w:eastAsia="楷体_GB2312" w:cs="楷体_GB2312"/>
          <w:b w:val="0"/>
          <w:bCs/>
          <w:sz w:val="32"/>
          <w:szCs w:val="32"/>
        </w:rPr>
        <w:t>第二节  着力发展商贸物流服务业</w:t>
      </w:r>
      <w:bookmarkEnd w:id="30"/>
      <w:bookmarkEnd w:id="31"/>
    </w:p>
    <w:p w14:paraId="4AB034C5">
      <w:pPr>
        <w:pStyle w:val="14"/>
        <w:overflowPunct w:val="0"/>
        <w:autoSpaceDE w:val="0"/>
        <w:autoSpaceDN w:val="0"/>
        <w:adjustRightInd w:val="0"/>
        <w:snapToGrid w:val="0"/>
        <w:spacing w:line="360" w:lineRule="auto"/>
        <w:ind w:firstLine="396" w:firstLineChars="200"/>
        <w:jc w:val="both"/>
        <w:rPr>
          <w:rFonts w:ascii="Times New Roman" w:hAnsi="Times New Roman" w:eastAsia="仿宋_GB2312" w:cs="宋体"/>
          <w:sz w:val="21"/>
          <w:szCs w:val="21"/>
        </w:rPr>
      </w:pPr>
    </w:p>
    <w:p w14:paraId="57EFE4A0">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sz w:val="32"/>
          <w:szCs w:val="30"/>
        </w:rPr>
        <w:t>按照集聚发展原则，促进生活性服务业与生产性服务业同步发展，逐步形成布局</w:t>
      </w:r>
      <w:r>
        <w:rPr>
          <w:rFonts w:hint="eastAsia" w:ascii="Times New Roman" w:hAnsi="Times New Roman" w:eastAsia="仿宋_GB2312" w:cs="宋体"/>
          <w:kern w:val="0"/>
          <w:sz w:val="32"/>
          <w:szCs w:val="32"/>
          <w:lang w:val="en-US" w:eastAsia="zh-CN" w:bidi="ar-SA"/>
        </w:rPr>
        <w:t>合理、功能完善的县级现代服务业体系。打造以县城为中心、乡镇为重点、村级为基础的城乡一体商贸流通网络。</w:t>
      </w:r>
    </w:p>
    <w:p w14:paraId="00D0F4F6">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lang w:val="en-US" w:eastAsia="zh-CN" w:bidi="ar-SA"/>
        </w:rPr>
      </w:pPr>
      <w:r>
        <w:rPr>
          <w:rFonts w:ascii="Times New Roman" w:hAnsi="Times New Roman" w:eastAsia="仿宋_GB2312" w:cs="宋体"/>
          <w:kern w:val="0"/>
          <w:sz w:val="32"/>
          <w:szCs w:val="32"/>
          <w:lang w:val="en-US" w:eastAsia="zh-CN" w:bidi="ar-SA"/>
        </w:rPr>
        <w:t>高水平开发城市商业综合体，</w:t>
      </w:r>
      <w:r>
        <w:rPr>
          <w:rFonts w:hint="eastAsia" w:ascii="Times New Roman" w:hAnsi="Times New Roman" w:eastAsia="仿宋_GB2312" w:cs="宋体"/>
          <w:kern w:val="0"/>
          <w:sz w:val="32"/>
          <w:szCs w:val="32"/>
          <w:lang w:val="en-US" w:eastAsia="zh-CN" w:bidi="ar-SA"/>
        </w:rPr>
        <w:t>加快</w:t>
      </w:r>
      <w:r>
        <w:rPr>
          <w:rFonts w:ascii="Times New Roman" w:hAnsi="Times New Roman" w:eastAsia="仿宋_GB2312" w:cs="宋体"/>
          <w:kern w:val="0"/>
          <w:sz w:val="32"/>
          <w:szCs w:val="32"/>
          <w:lang w:val="en-US" w:eastAsia="zh-CN" w:bidi="ar-SA"/>
        </w:rPr>
        <w:t>主题商业街区规划建设。</w:t>
      </w:r>
      <w:r>
        <w:rPr>
          <w:rFonts w:hint="eastAsia" w:ascii="Times New Roman" w:hAnsi="Times New Roman" w:eastAsia="仿宋_GB2312" w:cs="宋体"/>
          <w:kern w:val="0"/>
          <w:sz w:val="32"/>
          <w:szCs w:val="32"/>
          <w:lang w:val="en-US" w:eastAsia="zh-CN" w:bidi="ar-SA"/>
        </w:rPr>
        <w:t>重点完善城北新区商贸基础设施，继续改造和提升镇级农贸市场、供销社购物环境，鼓励在大的行政村、社区开设集购物、配送、电商等功能为一体的多功能商超。鼓励县城酒店、餐饮、农家乐环境升级、标准升级，改造提升美容美发、照相、电器维修、再生资源回收等乡村生活服务业，积极发展养老护幼、卫生保洁、文化演出、法律咨询、家庭医生、信息中介、典礼司仪等乡村服务业，规范发展夜经济。在绍水、石塘、黄沙河等特色中心镇，适度发展城市综合体、综合超市、百货商店、农贸市场、农业生产资料市场，服务于本乡（镇）及周边乡（镇）。拓展提升槐米、畜禽、林木、大米、米粉、粮油等专业市场，利用信息技术，升级改造</w:t>
      </w:r>
      <w:r>
        <w:rPr>
          <w:rFonts w:ascii="Times New Roman" w:hAnsi="Times New Roman" w:eastAsia="仿宋_GB2312" w:cs="宋体"/>
          <w:kern w:val="0"/>
          <w:sz w:val="32"/>
          <w:szCs w:val="32"/>
          <w:lang w:val="en-US" w:eastAsia="zh-CN" w:bidi="ar-SA"/>
        </w:rPr>
        <w:t>全国槐米交易中心、全国米粉生产交易中心、湘粤桂畜禽交易中心、湘桂木材集散中心。</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县投资促进局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县文化广电体育和旅游局、县市场服务管理中心、各乡（镇）人民政府〕</w:t>
      </w:r>
    </w:p>
    <w:p w14:paraId="08F73575">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积极实施“互联网+”战略，继续扩大电子商务服务点覆盖率。引导电商、物流、商贸、金融、供销、邮政、快递等各类电子商务主体到乡村布局，构建农村购物网络平台。依托农家店、农村综合服务社、村邮站、快递网点、农产品购销代办站等发展农村电商末端网点。实施“互联网+”农产品出村进城工程，完善乡村信息网络基础设施，加快发展农产品冷链物流设施。建设农村电子商务公共服务中心，加强农村电子商务人才培养。</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县投资促进局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县发展改革局、县工业和信息化局、县市场服务管理中心、各乡（镇）人民政府〕</w:t>
      </w:r>
    </w:p>
    <w:p w14:paraId="499EE625">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鼓励社会投入开设养老服务机构、培训机构、中医保健机构和文化创意、信息服务、商务服务等机构。鼓励科研机构为县三大产业提供科技咨询服务，鼓励县内企业与科研机构合作开发产品。深入实施信息进村入户工程，引导各类社会主体利用信息网络技术，开展市场信息、农资供应、废弃物资源化利用、农机作业、农产品初加工、仓储配送、原料供应等领域的农业生产性服务，促进公益性服务和经营性服务便民化。</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县投资促进局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县科技局、县农业农村局、各乡（镇）人民政府〕</w:t>
      </w:r>
    </w:p>
    <w:p w14:paraId="2CF37AFA">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构建高效城乡物流综合运输体系，提升物流运输服务的网络化、数字化、智能化水平。以公路、铁路（高铁）联运，重</w:t>
      </w:r>
      <w:r>
        <w:rPr>
          <w:rFonts w:ascii="Times New Roman" w:hAnsi="Times New Roman" w:eastAsia="仿宋_GB2312" w:cs="宋体"/>
          <w:kern w:val="0"/>
          <w:sz w:val="32"/>
          <w:szCs w:val="32"/>
          <w:lang w:val="en-US" w:eastAsia="zh-CN" w:bidi="ar-SA"/>
        </w:rPr>
        <w:t>点打造桂北湘南区域性物流</w:t>
      </w:r>
      <w:r>
        <w:rPr>
          <w:rFonts w:hint="eastAsia" w:ascii="Times New Roman" w:hAnsi="Times New Roman" w:eastAsia="仿宋_GB2312" w:cs="宋体"/>
          <w:kern w:val="0"/>
          <w:sz w:val="32"/>
          <w:szCs w:val="32"/>
          <w:lang w:val="en-US" w:eastAsia="zh-CN" w:bidi="ar-SA"/>
        </w:rPr>
        <w:t>中心，加快规划商业定位，切实抓好划行归市，执法规范专业市场建设与运营，加快建设物流产业园区，大力推进</w:t>
      </w:r>
      <w:r>
        <w:rPr>
          <w:rFonts w:ascii="Times New Roman" w:hAnsi="Times New Roman" w:eastAsia="仿宋_GB2312" w:cs="宋体"/>
          <w:kern w:val="0"/>
          <w:sz w:val="32"/>
          <w:szCs w:val="32"/>
          <w:lang w:val="en-US" w:eastAsia="zh-CN" w:bidi="ar-SA"/>
        </w:rPr>
        <w:t>城西集装箱工业配套物流园、城西家具建材市场、城西大宗农副产品冷链物流园、果菜商贸交易中心</w:t>
      </w:r>
      <w:r>
        <w:rPr>
          <w:rFonts w:hint="eastAsia" w:ascii="Times New Roman" w:hAnsi="Times New Roman" w:eastAsia="仿宋_GB2312" w:cs="宋体"/>
          <w:kern w:val="0"/>
          <w:sz w:val="32"/>
          <w:szCs w:val="32"/>
          <w:lang w:val="en-US" w:eastAsia="zh-CN" w:bidi="ar-SA"/>
        </w:rPr>
        <w:t>、联晨国际商贸物流城、粮食物流产业园区</w:t>
      </w:r>
      <w:r>
        <w:rPr>
          <w:rFonts w:ascii="Times New Roman" w:hAnsi="Times New Roman" w:eastAsia="仿宋_GB2312" w:cs="宋体"/>
          <w:kern w:val="0"/>
          <w:sz w:val="32"/>
          <w:szCs w:val="32"/>
          <w:lang w:val="en-US" w:eastAsia="zh-CN" w:bidi="ar-SA"/>
        </w:rPr>
        <w:t>等项目建设</w:t>
      </w:r>
      <w:r>
        <w:rPr>
          <w:rFonts w:hint="eastAsia" w:ascii="Times New Roman" w:hAnsi="Times New Roman" w:eastAsia="仿宋_GB2312" w:cs="宋体"/>
          <w:kern w:val="0"/>
          <w:sz w:val="32"/>
          <w:szCs w:val="32"/>
          <w:lang w:val="en-US" w:eastAsia="zh-CN" w:bidi="ar-SA"/>
        </w:rPr>
        <w:t>。加快推进物流产业升级，增加加工、包装、产品分销物流配送、冷链物流等增值服务，形成完整的高附加值的物流供应链。推动电商及物流企业规模化、专业化经营，拓展现代化物流系统服务网络。加强与城市批发市场、物流配送中心、商品采购中心、大型特产超市、电商平台对接，组织特色产品参加各类展示展销会，扩大产品影响，让全县特色产品走出乡村、进入城市、拓展市场。</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县投资促进局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县发展改革局、县工业和信息化局、县交通运输局、县市场服务管理中心、各乡（镇）人民政府〕</w:t>
      </w:r>
    </w:p>
    <w:p w14:paraId="2D1F7A7D">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大力发展金融服务业。抓住国家大力扶持发展农业及金融机构改革机遇，积极主动与金融机构对接，规范县域信用秩序，改善信贷环境，全面推进信用体系建设。</w:t>
      </w:r>
      <w:bookmarkStart w:id="32" w:name="_Toc6001"/>
      <w:r>
        <w:rPr>
          <w:rFonts w:hint="eastAsia" w:ascii="Times New Roman" w:hAnsi="Times New Roman" w:eastAsia="仿宋_GB2312" w:cs="宋体"/>
          <w:kern w:val="0"/>
          <w:sz w:val="32"/>
          <w:szCs w:val="32"/>
          <w:lang w:val="en-US" w:eastAsia="zh-CN" w:bidi="ar-SA"/>
        </w:rPr>
        <w:t>推动互联网与传统产业融合发展。</w:t>
      </w:r>
      <w:r>
        <w:rPr>
          <w:rFonts w:ascii="Times New Roman" w:hAnsi="Times New Roman" w:eastAsia="仿宋_GB2312" w:cs="宋体"/>
          <w:kern w:val="0"/>
          <w:sz w:val="32"/>
          <w:szCs w:val="32"/>
          <w:lang w:val="en-US" w:eastAsia="zh-CN" w:bidi="ar-SA"/>
        </w:rPr>
        <w:t>扶持发展金融服务业，进一步完善现代金融服务体系，</w:t>
      </w:r>
      <w:r>
        <w:rPr>
          <w:rFonts w:hint="eastAsia" w:ascii="Times New Roman" w:hAnsi="Times New Roman" w:eastAsia="仿宋_GB2312" w:cs="宋体"/>
          <w:kern w:val="0"/>
          <w:sz w:val="32"/>
          <w:szCs w:val="32"/>
          <w:lang w:val="en-US" w:eastAsia="zh-CN" w:bidi="ar-SA"/>
        </w:rPr>
        <w:t>积极引进银行、保险、担保等金融机构到县设立服务网点和提供金融服务。</w:t>
      </w:r>
      <w:bookmarkEnd w:id="32"/>
      <w:r>
        <w:rPr>
          <w:rFonts w:hint="eastAsia" w:ascii="Times New Roman" w:hAnsi="Times New Roman" w:eastAsia="仿宋_GB2312" w:cs="宋体"/>
          <w:kern w:val="0"/>
          <w:sz w:val="32"/>
          <w:szCs w:val="32"/>
          <w:lang w:val="en-US" w:eastAsia="zh-CN" w:bidi="ar-SA"/>
        </w:rPr>
        <w:t>通过整合政府、金融、企业三方相关资源，开发适合产业发展的信贷产品。推动企业进行股权交易融资、订单交易、碳汇交易等试点工作。</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县财政局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人民银行全州支行</w:t>
      </w:r>
      <w:r>
        <w:rPr>
          <w:rFonts w:ascii="Times New Roman" w:hAnsi="Times New Roman" w:eastAsia="仿宋_GB2312" w:cs="宋体"/>
          <w:kern w:val="0"/>
          <w:sz w:val="32"/>
          <w:szCs w:val="32"/>
          <w:lang w:val="en-US" w:eastAsia="zh-CN" w:bidi="ar-SA"/>
        </w:rPr>
        <w:t>）</w:t>
      </w:r>
    </w:p>
    <w:p w14:paraId="1FE02E9A">
      <w:pPr>
        <w:pStyle w:val="27"/>
        <w:overflowPunct w:val="0"/>
        <w:snapToGrid w:val="0"/>
        <w:spacing w:line="360" w:lineRule="auto"/>
        <w:jc w:val="both"/>
        <w:rPr>
          <w:rFonts w:ascii="Times New Roman" w:hAnsi="Times New Roman" w:eastAsia="仿宋_GB2312" w:cs="宋体"/>
          <w:kern w:val="0"/>
          <w:sz w:val="32"/>
          <w:szCs w:val="32"/>
          <w:lang w:val="en-US" w:eastAsia="zh-CN" w:bidi="ar-SA"/>
        </w:rPr>
      </w:pPr>
      <w:bookmarkStart w:id="33" w:name="_Toc22616"/>
    </w:p>
    <w:p w14:paraId="351414D1">
      <w:pPr>
        <w:pStyle w:val="14"/>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sz w:val="32"/>
          <w:szCs w:val="32"/>
        </w:rPr>
      </w:pPr>
      <w:bookmarkStart w:id="34" w:name="_Toc32432"/>
      <w:r>
        <w:rPr>
          <w:rStyle w:val="20"/>
          <w:rFonts w:hint="eastAsia" w:ascii="Times New Roman" w:hAnsi="Times New Roman" w:eastAsia="楷体_GB2312" w:cs="楷体_GB2312"/>
          <w:b w:val="0"/>
          <w:bCs/>
          <w:sz w:val="32"/>
          <w:szCs w:val="32"/>
        </w:rPr>
        <w:t>第三节  大力发展康养服务业</w:t>
      </w:r>
      <w:bookmarkEnd w:id="34"/>
    </w:p>
    <w:p w14:paraId="55D9F8AC">
      <w:pPr>
        <w:overflowPunct w:val="0"/>
        <w:autoSpaceDE w:val="0"/>
        <w:autoSpaceDN w:val="0"/>
        <w:adjustRightInd w:val="0"/>
        <w:snapToGrid w:val="0"/>
        <w:spacing w:line="360" w:lineRule="auto"/>
        <w:rPr>
          <w:rFonts w:ascii="Times New Roman" w:hAnsi="Times New Roman"/>
          <w:szCs w:val="21"/>
        </w:rPr>
      </w:pPr>
    </w:p>
    <w:p w14:paraId="11D5A900">
      <w:pPr>
        <w:pStyle w:val="27"/>
        <w:overflowPunct w:val="0"/>
        <w:snapToGrid w:val="0"/>
        <w:spacing w:line="360" w:lineRule="auto"/>
        <w:ind w:firstLine="761" w:firstLineChars="247"/>
        <w:jc w:val="both"/>
        <w:rPr>
          <w:rFonts w:ascii="Times New Roman" w:hAnsi="Times New Roman" w:eastAsia="仿宋_GB2312" w:cs="宋体"/>
          <w:color w:val="auto"/>
          <w:kern w:val="0"/>
          <w:sz w:val="32"/>
          <w:szCs w:val="32"/>
          <w:lang w:val="en-US" w:eastAsia="zh-CN" w:bidi="ar-SA"/>
        </w:rPr>
      </w:pPr>
      <w:r>
        <w:rPr>
          <w:rFonts w:hint="eastAsia" w:ascii="Times New Roman" w:hAnsi="Times New Roman" w:eastAsia="仿宋_GB2312" w:cs="宋体"/>
          <w:color w:val="auto"/>
          <w:sz w:val="32"/>
          <w:szCs w:val="30"/>
        </w:rPr>
        <w:t>紧紧依托全州生物医药、文化特色、健康食品等资源优势，聚焦“游、药、医、</w:t>
      </w:r>
      <w:r>
        <w:rPr>
          <w:rFonts w:hint="eastAsia" w:ascii="Times New Roman" w:hAnsi="Times New Roman" w:eastAsia="仿宋_GB2312" w:cs="宋体"/>
          <w:color w:val="auto"/>
          <w:kern w:val="0"/>
          <w:sz w:val="32"/>
          <w:szCs w:val="32"/>
          <w:lang w:val="en-US" w:eastAsia="zh-CN" w:bidi="ar-SA"/>
        </w:rPr>
        <w:t>养、食”为方向，着力发展健康旅游、健康养生、健康养老、健康运动、健康食品等重点产业，通过产业主体培育、产业标准制定，逐步形成具有全州特色的康养服务产业发展体系。</w:t>
      </w:r>
      <w:r>
        <w:rPr>
          <w:rFonts w:hint="eastAsia" w:ascii="Times New Roman" w:hAnsi="Times New Roman" w:eastAsia="仿宋_GB2312" w:cs="仿宋_GB2312"/>
          <w:kern w:val="0"/>
          <w:sz w:val="32"/>
          <w:szCs w:val="32"/>
        </w:rPr>
        <w:t>〔</w:t>
      </w:r>
      <w:r>
        <w:rPr>
          <w:rFonts w:ascii="Times New Roman" w:hAnsi="Times New Roman" w:eastAsia="仿宋_GB2312" w:cs="宋体"/>
          <w:color w:val="auto"/>
          <w:kern w:val="0"/>
          <w:sz w:val="32"/>
          <w:szCs w:val="32"/>
          <w:lang w:val="en-US" w:eastAsia="zh-CN" w:bidi="ar-SA"/>
        </w:rPr>
        <w:t>牵头单位：</w:t>
      </w:r>
      <w:r>
        <w:rPr>
          <w:rFonts w:hint="eastAsia" w:ascii="Times New Roman" w:hAnsi="Times New Roman" w:eastAsia="仿宋_GB2312" w:cs="宋体"/>
          <w:color w:val="auto"/>
          <w:kern w:val="0"/>
          <w:sz w:val="32"/>
          <w:szCs w:val="32"/>
          <w:lang w:val="en-US" w:eastAsia="zh-CN" w:bidi="ar-SA"/>
        </w:rPr>
        <w:t>县民政局</w:t>
      </w:r>
      <w:r>
        <w:rPr>
          <w:rFonts w:ascii="Times New Roman" w:hAnsi="Times New Roman" w:eastAsia="仿宋_GB2312" w:cs="宋体"/>
          <w:color w:val="auto"/>
          <w:kern w:val="0"/>
          <w:sz w:val="32"/>
          <w:szCs w:val="32"/>
          <w:lang w:val="en-US" w:eastAsia="zh-CN" w:bidi="ar-SA"/>
        </w:rPr>
        <w:t>；配合单位：</w:t>
      </w:r>
      <w:r>
        <w:rPr>
          <w:rFonts w:hint="eastAsia" w:ascii="Times New Roman" w:hAnsi="Times New Roman" w:eastAsia="仿宋_GB2312" w:cs="宋体"/>
          <w:color w:val="auto"/>
          <w:kern w:val="0"/>
          <w:sz w:val="32"/>
          <w:szCs w:val="32"/>
          <w:lang w:val="en-US" w:eastAsia="zh-CN" w:bidi="ar-SA"/>
        </w:rPr>
        <w:t>县卫生健康局、各乡（镇）人民政府〕</w:t>
      </w:r>
    </w:p>
    <w:p w14:paraId="62A8F310">
      <w:pPr>
        <w:pStyle w:val="27"/>
        <w:overflowPunct w:val="0"/>
        <w:snapToGrid w:val="0"/>
        <w:spacing w:line="360" w:lineRule="auto"/>
        <w:ind w:firstLine="610" w:firstLineChars="198"/>
        <w:jc w:val="both"/>
        <w:rPr>
          <w:rFonts w:ascii="Times New Roman" w:hAnsi="Times New Roman" w:eastAsia="仿宋_GB2312" w:cs="宋体"/>
          <w:color w:val="auto"/>
          <w:kern w:val="0"/>
          <w:sz w:val="32"/>
          <w:szCs w:val="32"/>
          <w:lang w:val="en-US" w:eastAsia="zh-CN" w:bidi="ar-SA"/>
        </w:rPr>
      </w:pPr>
      <w:r>
        <w:rPr>
          <w:rFonts w:hint="eastAsia" w:ascii="Times New Roman" w:hAnsi="Times New Roman" w:eastAsia="仿宋_GB2312" w:cs="宋体"/>
          <w:color w:val="auto"/>
          <w:kern w:val="0"/>
          <w:sz w:val="32"/>
          <w:szCs w:val="32"/>
          <w:lang w:val="en-US" w:eastAsia="zh-CN" w:bidi="ar-SA"/>
        </w:rPr>
        <w:t>完善康养服务产业体系。建设以健康旅游、健康医药、健康疗养、健康养生、健康药食、健康运动等业态为主的大健康产业体系。推进健康运动与休闲观光旅游的融合发展，大力发展避暑度假养生、生态康养文化体验、休闲观光度假产业。依托长征国家文化公园（全州段）项目建设，做大做强绿色生态观光康养特色品牌精品旅游，重点提升生态康养特色旅游项目。充分依托雷公岭国家矿山公园、镇湘塔公园、湘山文化园、天湖滑雪场冬训基地、大碧头、湘山酒业、思源博物馆及湘源文化公园、茶花谷、安和龙井、炎井温泉等项目，加快建设健康美食街区、中医理疗康养街区（中心）、体育公园等项目，推进文化养心、健康疗养、健康养生、健康运动产业发展。依托湘山酒业开发健康养生药酒产业，依托全县生物医药企业研发健康食品、药食同源保健品，提高全县康养服务产品的科技含量和产业发展质量。</w:t>
      </w:r>
      <w:r>
        <w:rPr>
          <w:rFonts w:hint="eastAsia" w:ascii="Times New Roman" w:hAnsi="Times New Roman" w:eastAsia="仿宋_GB2312" w:cs="仿宋_GB2312"/>
          <w:kern w:val="0"/>
          <w:sz w:val="32"/>
          <w:szCs w:val="32"/>
        </w:rPr>
        <w:t>〔</w:t>
      </w:r>
      <w:r>
        <w:rPr>
          <w:rFonts w:ascii="Times New Roman" w:hAnsi="Times New Roman" w:eastAsia="仿宋_GB2312" w:cs="宋体"/>
          <w:color w:val="auto"/>
          <w:kern w:val="0"/>
          <w:sz w:val="32"/>
          <w:szCs w:val="32"/>
          <w:lang w:val="en-US" w:eastAsia="zh-CN" w:bidi="ar-SA"/>
        </w:rPr>
        <w:t>牵头单位：</w:t>
      </w:r>
      <w:r>
        <w:rPr>
          <w:rFonts w:hint="eastAsia" w:ascii="Times New Roman" w:hAnsi="Times New Roman" w:eastAsia="仿宋_GB2312" w:cs="宋体"/>
          <w:color w:val="auto"/>
          <w:kern w:val="0"/>
          <w:sz w:val="32"/>
          <w:szCs w:val="32"/>
          <w:lang w:val="en-US" w:eastAsia="zh-CN" w:bidi="ar-SA"/>
        </w:rPr>
        <w:t>县民政局</w:t>
      </w:r>
      <w:r>
        <w:rPr>
          <w:rFonts w:ascii="Times New Roman" w:hAnsi="Times New Roman" w:eastAsia="仿宋_GB2312" w:cs="宋体"/>
          <w:color w:val="auto"/>
          <w:kern w:val="0"/>
          <w:sz w:val="32"/>
          <w:szCs w:val="32"/>
          <w:lang w:val="en-US" w:eastAsia="zh-CN" w:bidi="ar-SA"/>
        </w:rPr>
        <w:t>；配合单位：</w:t>
      </w:r>
      <w:r>
        <w:rPr>
          <w:rFonts w:hint="eastAsia" w:ascii="Times New Roman" w:hAnsi="Times New Roman" w:eastAsia="仿宋_GB2312" w:cs="宋体"/>
          <w:color w:val="auto"/>
          <w:kern w:val="0"/>
          <w:sz w:val="32"/>
          <w:szCs w:val="32"/>
          <w:lang w:val="en-US" w:eastAsia="zh-CN" w:bidi="ar-SA"/>
        </w:rPr>
        <w:t>县文化广电体育和旅游局、县卫生健康局、县自然资源局、各乡（镇）人民政府〕</w:t>
      </w:r>
    </w:p>
    <w:p w14:paraId="3D851258">
      <w:pPr>
        <w:pStyle w:val="27"/>
        <w:overflowPunct w:val="0"/>
        <w:snapToGrid w:val="0"/>
        <w:spacing w:line="360" w:lineRule="auto"/>
        <w:ind w:firstLine="610" w:firstLineChars="198"/>
        <w:jc w:val="both"/>
        <w:rPr>
          <w:rFonts w:ascii="Times New Roman" w:hAnsi="Times New Roman" w:eastAsia="仿宋_GB2312" w:cs="宋体"/>
          <w:color w:val="auto"/>
          <w:kern w:val="0"/>
          <w:sz w:val="32"/>
          <w:szCs w:val="32"/>
          <w:lang w:val="en-US" w:eastAsia="zh-CN" w:bidi="ar-SA"/>
        </w:rPr>
      </w:pPr>
      <w:r>
        <w:rPr>
          <w:rFonts w:hint="eastAsia" w:ascii="Times New Roman" w:hAnsi="Times New Roman" w:eastAsia="仿宋_GB2312" w:cs="宋体"/>
          <w:color w:val="auto"/>
          <w:kern w:val="0"/>
          <w:sz w:val="32"/>
          <w:szCs w:val="32"/>
          <w:lang w:val="en-US" w:eastAsia="zh-CN" w:bidi="ar-SA"/>
        </w:rPr>
        <w:t>大力发展大健康文旅产业。按照高质量、系统化发展思路，大力推进“旅游+”、“生态+”、“健康+”、“互联网+”等融合发展，积极探索集产品生产、观光体验、科普教育、健康养生、文化传播等功能为一体，加快旅游业和大健康产业融合，在文化体验中养心，在景区景点中融入健康养生要素，挖掘山地、森林、河流、药材等资源，积极打造富有特色的健康旅游产品。开辟保健体验之旅、山林独步、漂流、山地越野运动等旅游项目，在传统休闲旅游中，融入健康药膳、药食同源食疗等，鼓励酒店、民宿开设康养保健服务。促进大健康文旅产业集聚发展，加快建设大湾区养生养老健康旅游目的地。</w:t>
      </w:r>
      <w:r>
        <w:rPr>
          <w:rFonts w:hint="eastAsia" w:ascii="Times New Roman" w:hAnsi="Times New Roman" w:eastAsia="仿宋_GB2312" w:cs="仿宋_GB2312"/>
          <w:kern w:val="0"/>
          <w:sz w:val="32"/>
          <w:szCs w:val="32"/>
        </w:rPr>
        <w:t>〔</w:t>
      </w:r>
      <w:r>
        <w:rPr>
          <w:rFonts w:ascii="Times New Roman" w:hAnsi="Times New Roman" w:eastAsia="仿宋_GB2312" w:cs="宋体"/>
          <w:color w:val="auto"/>
          <w:kern w:val="0"/>
          <w:sz w:val="32"/>
          <w:szCs w:val="32"/>
          <w:lang w:val="en-US" w:eastAsia="zh-CN" w:bidi="ar-SA"/>
        </w:rPr>
        <w:t>牵头单位：</w:t>
      </w:r>
      <w:r>
        <w:rPr>
          <w:rFonts w:hint="eastAsia" w:ascii="Times New Roman" w:hAnsi="Times New Roman" w:eastAsia="仿宋_GB2312" w:cs="宋体"/>
          <w:color w:val="auto"/>
          <w:kern w:val="0"/>
          <w:sz w:val="32"/>
          <w:szCs w:val="32"/>
          <w:lang w:val="en-US" w:eastAsia="zh-CN" w:bidi="ar-SA"/>
        </w:rPr>
        <w:t>县文化广电体育和旅游局</w:t>
      </w:r>
      <w:r>
        <w:rPr>
          <w:rFonts w:ascii="Times New Roman" w:hAnsi="Times New Roman" w:eastAsia="仿宋_GB2312" w:cs="宋体"/>
          <w:color w:val="auto"/>
          <w:kern w:val="0"/>
          <w:sz w:val="32"/>
          <w:szCs w:val="32"/>
          <w:lang w:val="en-US" w:eastAsia="zh-CN" w:bidi="ar-SA"/>
        </w:rPr>
        <w:t>；配合单位：</w:t>
      </w:r>
      <w:r>
        <w:rPr>
          <w:rFonts w:hint="eastAsia" w:ascii="Times New Roman" w:hAnsi="Times New Roman" w:eastAsia="仿宋_GB2312" w:cs="宋体"/>
          <w:color w:val="auto"/>
          <w:kern w:val="0"/>
          <w:sz w:val="32"/>
          <w:szCs w:val="32"/>
          <w:lang w:val="en-US" w:eastAsia="zh-CN" w:bidi="ar-SA"/>
        </w:rPr>
        <w:t>县民政局、县卫生健康局、县自然资源局、各乡（镇）人民政府〕</w:t>
      </w:r>
    </w:p>
    <w:p w14:paraId="05D188FA">
      <w:pPr>
        <w:pStyle w:val="27"/>
        <w:overflowPunct w:val="0"/>
        <w:snapToGrid w:val="0"/>
        <w:spacing w:line="360" w:lineRule="auto"/>
        <w:ind w:firstLine="610" w:firstLineChars="198"/>
        <w:jc w:val="both"/>
        <w:rPr>
          <w:rFonts w:ascii="Times New Roman" w:hAnsi="Times New Roman" w:eastAsia="仿宋_GB2312" w:cs="宋体"/>
          <w:color w:val="auto"/>
          <w:kern w:val="0"/>
          <w:sz w:val="32"/>
          <w:szCs w:val="32"/>
          <w:lang w:val="en-US" w:eastAsia="zh-CN" w:bidi="ar-SA"/>
        </w:rPr>
      </w:pPr>
      <w:r>
        <w:rPr>
          <w:rFonts w:hint="eastAsia" w:ascii="Times New Roman" w:hAnsi="Times New Roman" w:eastAsia="仿宋_GB2312" w:cs="宋体"/>
          <w:color w:val="auto"/>
          <w:kern w:val="0"/>
          <w:sz w:val="32"/>
          <w:szCs w:val="32"/>
          <w:lang w:val="en-US" w:eastAsia="zh-CN" w:bidi="ar-SA"/>
        </w:rPr>
        <w:t>全力推进健康养老服务业。鼓励民间养老机构创办和连锁经营，发展家政服务、居家养老、医疗保健等新兴业态，形成多层次、多形式共同发展的健康养老市场。</w:t>
      </w:r>
      <w:r>
        <w:rPr>
          <w:rFonts w:hint="eastAsia" w:ascii="Times New Roman" w:hAnsi="Times New Roman" w:eastAsia="仿宋_GB2312" w:cs="仿宋_GB2312"/>
          <w:kern w:val="0"/>
          <w:sz w:val="32"/>
          <w:szCs w:val="32"/>
        </w:rPr>
        <w:t>〔</w:t>
      </w:r>
      <w:r>
        <w:rPr>
          <w:rFonts w:ascii="Times New Roman" w:hAnsi="Times New Roman" w:eastAsia="仿宋_GB2312" w:cs="宋体"/>
          <w:color w:val="auto"/>
          <w:kern w:val="0"/>
          <w:sz w:val="32"/>
          <w:szCs w:val="32"/>
          <w:lang w:val="en-US" w:eastAsia="zh-CN" w:bidi="ar-SA"/>
        </w:rPr>
        <w:t>牵头单位：</w:t>
      </w:r>
      <w:r>
        <w:rPr>
          <w:rFonts w:hint="eastAsia" w:ascii="Times New Roman" w:hAnsi="Times New Roman" w:eastAsia="仿宋_GB2312" w:cs="宋体"/>
          <w:color w:val="auto"/>
          <w:kern w:val="0"/>
          <w:sz w:val="32"/>
          <w:szCs w:val="32"/>
          <w:lang w:val="en-US" w:eastAsia="zh-CN" w:bidi="ar-SA"/>
        </w:rPr>
        <w:t>县民政局</w:t>
      </w:r>
      <w:r>
        <w:rPr>
          <w:rFonts w:ascii="Times New Roman" w:hAnsi="Times New Roman" w:eastAsia="仿宋_GB2312" w:cs="宋体"/>
          <w:color w:val="auto"/>
          <w:kern w:val="0"/>
          <w:sz w:val="32"/>
          <w:szCs w:val="32"/>
          <w:lang w:val="en-US" w:eastAsia="zh-CN" w:bidi="ar-SA"/>
        </w:rPr>
        <w:t>；配合单位：</w:t>
      </w:r>
      <w:r>
        <w:rPr>
          <w:rFonts w:hint="eastAsia" w:ascii="Times New Roman" w:hAnsi="Times New Roman" w:eastAsia="仿宋_GB2312" w:cs="宋体"/>
          <w:color w:val="auto"/>
          <w:kern w:val="0"/>
          <w:sz w:val="32"/>
          <w:szCs w:val="32"/>
          <w:lang w:val="en-US" w:eastAsia="zh-CN" w:bidi="ar-SA"/>
        </w:rPr>
        <w:t>县卫生健康局、各乡（镇）人民政府〕</w:t>
      </w:r>
    </w:p>
    <w:p w14:paraId="2651F838">
      <w:pPr>
        <w:pStyle w:val="27"/>
        <w:overflowPunct w:val="0"/>
        <w:snapToGrid w:val="0"/>
        <w:spacing w:line="360" w:lineRule="auto"/>
        <w:ind w:firstLine="610" w:firstLineChars="198"/>
        <w:jc w:val="both"/>
        <w:rPr>
          <w:rFonts w:ascii="Times New Roman" w:hAnsi="Times New Roman" w:eastAsia="仿宋_GB2312" w:cs="宋体"/>
          <w:color w:val="auto"/>
          <w:kern w:val="0"/>
          <w:sz w:val="32"/>
          <w:szCs w:val="32"/>
          <w:lang w:val="en-US" w:eastAsia="zh-CN" w:bidi="ar-SA"/>
        </w:rPr>
      </w:pPr>
      <w:r>
        <w:rPr>
          <w:rFonts w:hint="eastAsia" w:ascii="Times New Roman" w:hAnsi="Times New Roman" w:eastAsia="仿宋_GB2312" w:cs="宋体"/>
          <w:color w:val="auto"/>
          <w:kern w:val="0"/>
          <w:sz w:val="32"/>
          <w:szCs w:val="32"/>
          <w:lang w:val="en-US" w:eastAsia="zh-CN" w:bidi="ar-SA"/>
        </w:rPr>
        <w:t>培育壮大产业发展主体。加大项目谋划和招商引资，按产业链招商模式，加强生物医药和大健康产业基础设施、产业等各类项目的引进，继续做好现有项目的建设和相关企业孵化。依托全县旅游景区、度假区，大力发展康养服务业，打造县域重要支柱产业。</w:t>
      </w:r>
      <w:r>
        <w:rPr>
          <w:rFonts w:hint="eastAsia" w:ascii="Times New Roman" w:hAnsi="Times New Roman" w:eastAsia="仿宋_GB2312" w:cs="仿宋_GB2312"/>
          <w:kern w:val="0"/>
          <w:sz w:val="32"/>
          <w:szCs w:val="32"/>
        </w:rPr>
        <w:t>〔</w:t>
      </w:r>
      <w:r>
        <w:rPr>
          <w:rFonts w:ascii="Times New Roman" w:hAnsi="Times New Roman" w:eastAsia="仿宋_GB2312" w:cs="宋体"/>
          <w:color w:val="auto"/>
          <w:kern w:val="0"/>
          <w:sz w:val="32"/>
          <w:szCs w:val="32"/>
          <w:lang w:val="en-US" w:eastAsia="zh-CN" w:bidi="ar-SA"/>
        </w:rPr>
        <w:t>牵头单位：</w:t>
      </w:r>
      <w:r>
        <w:rPr>
          <w:rFonts w:hint="eastAsia" w:ascii="Times New Roman" w:hAnsi="Times New Roman" w:eastAsia="仿宋_GB2312" w:cs="宋体"/>
          <w:color w:val="auto"/>
          <w:kern w:val="0"/>
          <w:sz w:val="32"/>
          <w:szCs w:val="32"/>
          <w:lang w:val="en-US" w:eastAsia="zh-CN" w:bidi="ar-SA"/>
        </w:rPr>
        <w:t>县文化广电体育和旅游局</w:t>
      </w:r>
      <w:r>
        <w:rPr>
          <w:rFonts w:ascii="Times New Roman" w:hAnsi="Times New Roman" w:eastAsia="仿宋_GB2312" w:cs="宋体"/>
          <w:color w:val="auto"/>
          <w:kern w:val="0"/>
          <w:sz w:val="32"/>
          <w:szCs w:val="32"/>
          <w:lang w:val="en-US" w:eastAsia="zh-CN" w:bidi="ar-SA"/>
        </w:rPr>
        <w:t>；配合单位：</w:t>
      </w:r>
      <w:r>
        <w:rPr>
          <w:rFonts w:hint="eastAsia" w:ascii="Times New Roman" w:hAnsi="Times New Roman" w:eastAsia="仿宋_GB2312" w:cs="宋体"/>
          <w:color w:val="auto"/>
          <w:kern w:val="0"/>
          <w:sz w:val="32"/>
          <w:szCs w:val="32"/>
          <w:lang w:val="en-US" w:eastAsia="zh-CN" w:bidi="ar-SA"/>
        </w:rPr>
        <w:t>县投资促进局、县民政局、县卫生健康局、各乡（镇）人民政府〕</w:t>
      </w:r>
    </w:p>
    <w:p w14:paraId="3EBA994E">
      <w:pPr>
        <w:pStyle w:val="27"/>
        <w:rPr>
          <w:rFonts w:ascii="Times New Roman" w:hAnsi="Times New Roman"/>
          <w:sz w:val="21"/>
          <w:szCs w:val="21"/>
        </w:rPr>
      </w:pPr>
    </w:p>
    <w:p w14:paraId="0957296E">
      <w:pPr>
        <w:ind w:firstLine="770" w:firstLineChars="250"/>
        <w:rPr>
          <w:rFonts w:ascii="Times New Roman" w:hAnsi="Times New Roman" w:eastAsia="黑体" w:cs="宋体"/>
          <w:b w:val="0"/>
          <w:bCs/>
          <w:kern w:val="0"/>
          <w:sz w:val="32"/>
          <w:szCs w:val="32"/>
        </w:rPr>
      </w:pPr>
      <w:bookmarkStart w:id="35" w:name="_Toc20533"/>
      <w:r>
        <w:rPr>
          <w:rStyle w:val="20"/>
          <w:rFonts w:hint="eastAsia" w:ascii="Times New Roman" w:hAnsi="Times New Roman" w:eastAsia="黑体" w:cs="宋体"/>
          <w:b w:val="0"/>
          <w:bCs/>
          <w:kern w:val="0"/>
          <w:sz w:val="32"/>
          <w:szCs w:val="32"/>
        </w:rPr>
        <w:t>六、完善现代基础设施  夯实产业发展</w:t>
      </w:r>
      <w:bookmarkEnd w:id="33"/>
      <w:r>
        <w:rPr>
          <w:rStyle w:val="20"/>
          <w:rFonts w:hint="eastAsia" w:ascii="Times New Roman" w:hAnsi="Times New Roman" w:eastAsia="黑体" w:cs="宋体"/>
          <w:b w:val="0"/>
          <w:bCs/>
          <w:kern w:val="0"/>
          <w:sz w:val="32"/>
          <w:szCs w:val="32"/>
        </w:rPr>
        <w:t>基石</w:t>
      </w:r>
      <w:bookmarkEnd w:id="35"/>
    </w:p>
    <w:p w14:paraId="74266B1C">
      <w:pPr>
        <w:overflowPunct w:val="0"/>
        <w:autoSpaceDE w:val="0"/>
        <w:autoSpaceDN w:val="0"/>
        <w:adjustRightInd w:val="0"/>
        <w:snapToGrid w:val="0"/>
        <w:spacing w:line="360" w:lineRule="auto"/>
        <w:ind w:firstLine="396" w:firstLineChars="200"/>
        <w:rPr>
          <w:rFonts w:ascii="Times New Roman" w:hAnsi="Times New Roman" w:eastAsia="仿宋_GB2312" w:cs="宋体"/>
          <w:kern w:val="0"/>
          <w:szCs w:val="21"/>
        </w:rPr>
      </w:pPr>
    </w:p>
    <w:p w14:paraId="07E310D5">
      <w:pPr>
        <w:overflowPunct w:val="0"/>
        <w:autoSpaceDE w:val="0"/>
        <w:autoSpaceDN w:val="0"/>
        <w:adjustRightInd w:val="0"/>
        <w:snapToGrid w:val="0"/>
        <w:spacing w:line="360" w:lineRule="auto"/>
        <w:ind w:firstLine="616" w:firstLineChars="200"/>
        <w:rPr>
          <w:rStyle w:val="20"/>
          <w:rFonts w:ascii="Times New Roman" w:hAnsi="Times New Roman" w:eastAsia="宋体" w:cs="宋体"/>
          <w:bCs/>
          <w:kern w:val="0"/>
          <w:sz w:val="32"/>
          <w:szCs w:val="32"/>
        </w:rPr>
      </w:pPr>
      <w:r>
        <w:rPr>
          <w:rFonts w:hint="eastAsia" w:ascii="Times New Roman" w:hAnsi="Times New Roman" w:eastAsia="仿宋_GB2312" w:cs="宋体"/>
          <w:kern w:val="0"/>
          <w:sz w:val="32"/>
          <w:szCs w:val="30"/>
        </w:rPr>
        <w:t>“十四五”期间，加快以“五网”建设为主的基础设施建设，有序推进5G、人工智能、工业互联网、物联网等新型基础设施建设，加大现有基础设施领域“补短板”力度，加快推进交通运输、水利、信息、能源等现有基础设施智能化改造，全面提升经济社会发展的服务保障水平。</w:t>
      </w:r>
    </w:p>
    <w:p w14:paraId="2A67AD67">
      <w:pPr>
        <w:overflowPunct w:val="0"/>
        <w:autoSpaceDE w:val="0"/>
        <w:autoSpaceDN w:val="0"/>
        <w:adjustRightInd w:val="0"/>
        <w:snapToGrid w:val="0"/>
        <w:spacing w:line="360" w:lineRule="auto"/>
        <w:jc w:val="center"/>
        <w:rPr>
          <w:rStyle w:val="20"/>
          <w:rFonts w:ascii="Times New Roman" w:hAnsi="Times New Roman" w:eastAsia="宋体" w:cs="宋体"/>
          <w:b/>
          <w:kern w:val="0"/>
          <w:szCs w:val="21"/>
        </w:rPr>
      </w:pPr>
      <w:bookmarkStart w:id="36" w:name="_Toc21517"/>
    </w:p>
    <w:p w14:paraId="450E73BB">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kern w:val="0"/>
          <w:sz w:val="32"/>
          <w:szCs w:val="30"/>
        </w:rPr>
      </w:pPr>
      <w:bookmarkStart w:id="37" w:name="_Toc22857"/>
      <w:r>
        <w:rPr>
          <w:rStyle w:val="20"/>
          <w:rFonts w:hint="eastAsia" w:ascii="Times New Roman" w:hAnsi="Times New Roman" w:eastAsia="楷体_GB2312" w:cs="楷体_GB2312"/>
          <w:b w:val="0"/>
          <w:bCs/>
          <w:kern w:val="0"/>
          <w:sz w:val="32"/>
          <w:szCs w:val="32"/>
        </w:rPr>
        <w:t>第一节  继续完善交通基础</w:t>
      </w:r>
      <w:bookmarkEnd w:id="36"/>
      <w:bookmarkEnd w:id="37"/>
    </w:p>
    <w:p w14:paraId="1A79F137">
      <w:pPr>
        <w:overflowPunct w:val="0"/>
        <w:autoSpaceDE w:val="0"/>
        <w:autoSpaceDN w:val="0"/>
        <w:adjustRightInd w:val="0"/>
        <w:snapToGrid w:val="0"/>
        <w:spacing w:line="360" w:lineRule="auto"/>
        <w:ind w:firstLine="396" w:firstLineChars="200"/>
        <w:rPr>
          <w:rFonts w:ascii="Times New Roman" w:hAnsi="Times New Roman" w:eastAsia="仿宋_GB2312" w:cs="宋体"/>
          <w:b/>
          <w:bCs/>
          <w:color w:val="000000" w:themeColor="text1"/>
          <w:kern w:val="0"/>
          <w:szCs w:val="21"/>
        </w:rPr>
      </w:pPr>
    </w:p>
    <w:p w14:paraId="751C8B5F">
      <w:pPr>
        <w:pStyle w:val="27"/>
        <w:overflowPunct w:val="0"/>
        <w:snapToGrid w:val="0"/>
        <w:spacing w:line="360" w:lineRule="auto"/>
        <w:ind w:firstLine="610" w:firstLineChars="198"/>
        <w:jc w:val="both"/>
        <w:rPr>
          <w:rFonts w:ascii="Times New Roman" w:hAnsi="Times New Roman" w:eastAsia="仿宋_GB2312" w:cs="宋体"/>
          <w:color w:val="auto"/>
          <w:kern w:val="0"/>
          <w:sz w:val="32"/>
          <w:szCs w:val="32"/>
          <w:lang w:val="en-US" w:eastAsia="zh-CN" w:bidi="ar-SA"/>
        </w:rPr>
      </w:pPr>
      <w:r>
        <w:rPr>
          <w:rFonts w:hint="eastAsia" w:ascii="Times New Roman" w:hAnsi="Times New Roman" w:eastAsia="仿宋_GB2312" w:cs="宋体"/>
          <w:color w:val="auto"/>
          <w:kern w:val="0"/>
          <w:sz w:val="32"/>
          <w:szCs w:val="32"/>
          <w:lang w:val="en-US" w:eastAsia="zh-CN" w:bidi="ar-SA"/>
        </w:rPr>
        <w:t>构建便捷交通网络。紧盯“对接大桂林、东融大湾区、北联湖南与中原”目标，遵循“内循环、外连通”原则，打通全县“六纵六横一环一联”大交通网络，实施交通强县战略，强化内外部综合交通衔接，谋划跨省、跨县高速、红色高铁、国道、通勤机场、湘江航道等“外联”交通建设项目，统筹推进铁路、公路、航空、水运、城市公共交通和农村公路等现代综合交通运输体系建设。积极配合推进G72桂林至全州段高速公路建设，全州-东安高速公路建设。加快推动国道322线黄沙河镇至全州段“二改一”项目，国道322绕县城改线项目立项。加快推进省道501改造项目建设。加快建成</w:t>
      </w:r>
      <w:r>
        <w:rPr>
          <w:rFonts w:ascii="Times New Roman" w:hAnsi="Times New Roman" w:eastAsia="仿宋_GB2312" w:cs="宋体"/>
          <w:color w:val="auto"/>
          <w:kern w:val="0"/>
          <w:sz w:val="32"/>
          <w:szCs w:val="32"/>
          <w:lang w:val="en-US" w:eastAsia="zh-CN" w:bidi="ar-SA"/>
        </w:rPr>
        <w:t>全州县城</w:t>
      </w:r>
      <w:r>
        <w:rPr>
          <w:rFonts w:hint="eastAsia" w:ascii="Times New Roman" w:hAnsi="Times New Roman" w:eastAsia="仿宋_GB2312" w:cs="宋体"/>
          <w:color w:val="auto"/>
          <w:kern w:val="0"/>
          <w:sz w:val="32"/>
          <w:szCs w:val="32"/>
          <w:lang w:val="en-US" w:eastAsia="zh-CN" w:bidi="ar-SA"/>
        </w:rPr>
        <w:t>—</w:t>
      </w:r>
      <w:r>
        <w:rPr>
          <w:rFonts w:ascii="Times New Roman" w:hAnsi="Times New Roman" w:eastAsia="仿宋_GB2312" w:cs="宋体"/>
          <w:color w:val="auto"/>
          <w:kern w:val="0"/>
          <w:sz w:val="32"/>
          <w:szCs w:val="32"/>
          <w:lang w:val="en-US" w:eastAsia="zh-CN" w:bidi="ar-SA"/>
        </w:rPr>
        <w:t>塘福</w:t>
      </w:r>
      <w:r>
        <w:rPr>
          <w:rFonts w:hint="eastAsia" w:ascii="Times New Roman" w:hAnsi="Times New Roman" w:eastAsia="仿宋_GB2312" w:cs="宋体"/>
          <w:color w:val="auto"/>
          <w:kern w:val="0"/>
          <w:sz w:val="32"/>
          <w:szCs w:val="32"/>
          <w:lang w:val="en-US" w:eastAsia="zh-CN" w:bidi="ar-SA"/>
        </w:rPr>
        <w:t>—</w:t>
      </w:r>
      <w:r>
        <w:rPr>
          <w:rFonts w:ascii="Times New Roman" w:hAnsi="Times New Roman" w:eastAsia="仿宋_GB2312" w:cs="宋体"/>
          <w:color w:val="auto"/>
          <w:kern w:val="0"/>
          <w:sz w:val="32"/>
          <w:szCs w:val="32"/>
          <w:lang w:val="en-US" w:eastAsia="zh-CN" w:bidi="ar-SA"/>
        </w:rPr>
        <w:t>凤凰和平、全州龙水</w:t>
      </w:r>
      <w:r>
        <w:rPr>
          <w:rFonts w:hint="eastAsia" w:ascii="Times New Roman" w:hAnsi="Times New Roman" w:eastAsia="仿宋_GB2312" w:cs="宋体"/>
          <w:color w:val="auto"/>
          <w:kern w:val="0"/>
          <w:sz w:val="32"/>
          <w:szCs w:val="32"/>
          <w:lang w:val="en-US" w:eastAsia="zh-CN" w:bidi="ar-SA"/>
        </w:rPr>
        <w:t>—</w:t>
      </w:r>
      <w:r>
        <w:rPr>
          <w:rFonts w:ascii="Times New Roman" w:hAnsi="Times New Roman" w:eastAsia="仿宋_GB2312" w:cs="宋体"/>
          <w:color w:val="auto"/>
          <w:kern w:val="0"/>
          <w:sz w:val="32"/>
          <w:szCs w:val="32"/>
          <w:lang w:val="en-US" w:eastAsia="zh-CN" w:bidi="ar-SA"/>
        </w:rPr>
        <w:t>高田</w:t>
      </w:r>
      <w:r>
        <w:rPr>
          <w:rFonts w:hint="eastAsia" w:ascii="Times New Roman" w:hAnsi="Times New Roman" w:eastAsia="仿宋_GB2312" w:cs="宋体"/>
          <w:color w:val="auto"/>
          <w:kern w:val="0"/>
          <w:sz w:val="32"/>
          <w:szCs w:val="32"/>
          <w:lang w:val="en-US" w:eastAsia="zh-CN" w:bidi="ar-SA"/>
        </w:rPr>
        <w:t>—绍水镇</w:t>
      </w:r>
      <w:r>
        <w:rPr>
          <w:rFonts w:ascii="Times New Roman" w:hAnsi="Times New Roman" w:eastAsia="仿宋_GB2312" w:cs="宋体"/>
          <w:color w:val="auto"/>
          <w:kern w:val="0"/>
          <w:sz w:val="32"/>
          <w:szCs w:val="32"/>
          <w:lang w:val="en-US" w:eastAsia="zh-CN" w:bidi="ar-SA"/>
        </w:rPr>
        <w:t>、</w:t>
      </w:r>
      <w:r>
        <w:rPr>
          <w:rFonts w:hint="eastAsia" w:ascii="Times New Roman" w:hAnsi="Times New Roman" w:eastAsia="仿宋_GB2312" w:cs="宋体"/>
          <w:color w:val="auto"/>
          <w:kern w:val="0"/>
          <w:sz w:val="32"/>
          <w:szCs w:val="32"/>
          <w:lang w:val="en-US" w:eastAsia="zh-CN" w:bidi="ar-SA"/>
        </w:rPr>
        <w:t>文桥至大西江</w:t>
      </w:r>
      <w:r>
        <w:rPr>
          <w:rFonts w:ascii="Times New Roman" w:hAnsi="Times New Roman" w:eastAsia="仿宋_GB2312" w:cs="宋体"/>
          <w:color w:val="auto"/>
          <w:kern w:val="0"/>
          <w:sz w:val="32"/>
          <w:szCs w:val="32"/>
          <w:lang w:val="en-US" w:eastAsia="zh-CN" w:bidi="ar-SA"/>
        </w:rPr>
        <w:t>等县级公路项目</w:t>
      </w:r>
      <w:r>
        <w:rPr>
          <w:rFonts w:hint="eastAsia" w:ascii="Times New Roman" w:hAnsi="Times New Roman" w:eastAsia="仿宋_GB2312" w:cs="宋体"/>
          <w:color w:val="auto"/>
          <w:kern w:val="0"/>
          <w:sz w:val="32"/>
          <w:szCs w:val="32"/>
          <w:lang w:val="en-US" w:eastAsia="zh-CN" w:bidi="ar-SA"/>
        </w:rPr>
        <w:t>；加快红色旅游大通道、大西江至天湖、黄沙河镇至兆村等景区连接公路建设；实施一批渡改桥改造项目，完善县域骨干通道。到2025年，基本实现县城与相邻县之间、县城与乡镇之间通二级以上公路、重点乡镇与相邻乡镇之间通三级以上公路；主要工业园区、旅游景点、农业示范区等重要节点基本通三级及以上公路。加快推进全州通用通勤机场前期工作。积极配合推进湘桂运河立项建设，配合加快张家界经桂林至玉林至海口高铁（全州段）建设，加快全州段设站前期工作。加快推进</w:t>
      </w:r>
      <w:r>
        <w:rPr>
          <w:rFonts w:ascii="Times New Roman" w:hAnsi="Times New Roman" w:eastAsia="仿宋_GB2312" w:cs="宋体"/>
          <w:color w:val="auto"/>
          <w:kern w:val="0"/>
          <w:sz w:val="32"/>
          <w:szCs w:val="32"/>
          <w:lang w:val="en-US" w:eastAsia="zh-CN" w:bidi="ar-SA"/>
        </w:rPr>
        <w:t>铁路货运站规划建设，打造成湘桂区域物流中心</w:t>
      </w:r>
      <w:r>
        <w:rPr>
          <w:rFonts w:hint="eastAsia" w:ascii="Times New Roman" w:hAnsi="Times New Roman" w:eastAsia="仿宋_GB2312" w:cs="宋体"/>
          <w:color w:val="auto"/>
          <w:kern w:val="0"/>
          <w:sz w:val="32"/>
          <w:szCs w:val="32"/>
          <w:lang w:val="en-US" w:eastAsia="zh-CN" w:bidi="ar-SA"/>
        </w:rPr>
        <w:t>，加快</w:t>
      </w:r>
      <w:r>
        <w:rPr>
          <w:rFonts w:ascii="Times New Roman" w:hAnsi="Times New Roman" w:eastAsia="仿宋_GB2312" w:cs="宋体"/>
          <w:color w:val="auto"/>
          <w:kern w:val="0"/>
          <w:sz w:val="32"/>
          <w:szCs w:val="32"/>
          <w:lang w:val="en-US" w:eastAsia="zh-CN" w:bidi="ar-SA"/>
        </w:rPr>
        <w:t>高铁站扩容改造，打造湘桂接壤区域高铁转运中心</w:t>
      </w:r>
      <w:r>
        <w:rPr>
          <w:rFonts w:hint="eastAsia" w:ascii="Times New Roman" w:hAnsi="Times New Roman" w:eastAsia="仿宋_GB2312" w:cs="宋体"/>
          <w:color w:val="auto"/>
          <w:kern w:val="0"/>
          <w:sz w:val="32"/>
          <w:szCs w:val="32"/>
          <w:lang w:val="en-US" w:eastAsia="zh-CN" w:bidi="ar-SA"/>
        </w:rPr>
        <w:t>，积极开展公铁联运等多式联运枢纽场站研究工作</w:t>
      </w:r>
      <w:r>
        <w:rPr>
          <w:rFonts w:ascii="Times New Roman" w:hAnsi="Times New Roman" w:eastAsia="仿宋_GB2312" w:cs="宋体"/>
          <w:color w:val="auto"/>
          <w:kern w:val="0"/>
          <w:sz w:val="32"/>
          <w:szCs w:val="32"/>
          <w:lang w:val="en-US" w:eastAsia="zh-CN" w:bidi="ar-SA"/>
        </w:rPr>
        <w:t>。</w:t>
      </w:r>
      <w:r>
        <w:rPr>
          <w:rFonts w:hint="eastAsia" w:ascii="Times New Roman" w:hAnsi="Times New Roman" w:eastAsia="仿宋_GB2312" w:cs="仿宋_GB2312"/>
          <w:kern w:val="0"/>
          <w:sz w:val="32"/>
          <w:szCs w:val="32"/>
        </w:rPr>
        <w:t>〔</w:t>
      </w:r>
      <w:r>
        <w:rPr>
          <w:rFonts w:ascii="Times New Roman" w:hAnsi="Times New Roman" w:eastAsia="仿宋_GB2312" w:cs="宋体"/>
          <w:color w:val="auto"/>
          <w:kern w:val="0"/>
          <w:sz w:val="32"/>
          <w:szCs w:val="32"/>
          <w:lang w:val="en-US" w:eastAsia="zh-CN" w:bidi="ar-SA"/>
        </w:rPr>
        <w:t>牵头单位：</w:t>
      </w:r>
      <w:r>
        <w:rPr>
          <w:rFonts w:hint="eastAsia" w:ascii="Times New Roman" w:hAnsi="Times New Roman" w:eastAsia="仿宋_GB2312" w:cs="宋体"/>
          <w:color w:val="auto"/>
          <w:kern w:val="0"/>
          <w:sz w:val="32"/>
          <w:szCs w:val="32"/>
          <w:lang w:val="en-US" w:eastAsia="zh-CN" w:bidi="ar-SA"/>
        </w:rPr>
        <w:t>县交通运输局</w:t>
      </w:r>
      <w:r>
        <w:rPr>
          <w:rFonts w:ascii="Times New Roman" w:hAnsi="Times New Roman" w:eastAsia="仿宋_GB2312" w:cs="宋体"/>
          <w:color w:val="auto"/>
          <w:kern w:val="0"/>
          <w:sz w:val="32"/>
          <w:szCs w:val="32"/>
          <w:lang w:val="en-US" w:eastAsia="zh-CN" w:bidi="ar-SA"/>
        </w:rPr>
        <w:t>；配合单位：</w:t>
      </w:r>
      <w:r>
        <w:rPr>
          <w:rFonts w:hint="eastAsia" w:ascii="Times New Roman" w:hAnsi="Times New Roman" w:eastAsia="仿宋_GB2312" w:cs="宋体"/>
          <w:color w:val="auto"/>
          <w:kern w:val="0"/>
          <w:sz w:val="32"/>
          <w:szCs w:val="32"/>
          <w:lang w:val="en-US" w:eastAsia="zh-CN" w:bidi="ar-SA"/>
        </w:rPr>
        <w:t>各乡（镇）人民政府〕</w:t>
      </w:r>
    </w:p>
    <w:p w14:paraId="11280DF2">
      <w:pPr>
        <w:overflowPunct w:val="0"/>
        <w:autoSpaceDE w:val="0"/>
        <w:autoSpaceDN w:val="0"/>
        <w:adjustRightInd w:val="0"/>
        <w:snapToGrid w:val="0"/>
        <w:spacing w:line="360" w:lineRule="auto"/>
        <w:ind w:firstLine="616" w:firstLineChars="200"/>
        <w:rPr>
          <w:rStyle w:val="20"/>
          <w:rFonts w:ascii="Times New Roman" w:hAnsi="Times New Roman" w:eastAsia="宋体" w:cs="宋体"/>
          <w:b/>
          <w:kern w:val="0"/>
          <w:sz w:val="32"/>
          <w:szCs w:val="32"/>
        </w:rPr>
      </w:pPr>
      <w:r>
        <w:rPr>
          <w:rFonts w:hint="eastAsia" w:ascii="Times New Roman" w:hAnsi="Times New Roman" w:eastAsia="仿宋_GB2312" w:cs="宋体"/>
          <w:color w:val="auto"/>
          <w:kern w:val="0"/>
          <w:sz w:val="32"/>
          <w:szCs w:val="32"/>
          <w:lang w:val="en-US" w:eastAsia="zh-CN" w:bidi="ar-SA"/>
        </w:rPr>
        <w:t>改善提升农村交通基础设施。按照“四好农村路”要求，推动全县农村公路建、管、护、运一体化发展，全县农村公路养护管理实现“四有”。加快通村屯公路硬化建设和通村公路拓宽改造建设，</w:t>
      </w:r>
      <w:r>
        <w:rPr>
          <w:rFonts w:ascii="Times New Roman" w:hAnsi="Times New Roman" w:eastAsia="仿宋_GB2312" w:cs="宋体"/>
          <w:color w:val="auto"/>
          <w:kern w:val="0"/>
          <w:sz w:val="32"/>
          <w:szCs w:val="32"/>
          <w:lang w:val="en-US" w:eastAsia="zh-CN" w:bidi="ar-SA"/>
        </w:rPr>
        <w:t>打通</w:t>
      </w:r>
      <w:r>
        <w:rPr>
          <w:rFonts w:hint="eastAsia" w:ascii="Times New Roman" w:hAnsi="Times New Roman" w:eastAsia="仿宋_GB2312" w:cs="宋体"/>
          <w:color w:val="auto"/>
          <w:kern w:val="0"/>
          <w:sz w:val="32"/>
          <w:szCs w:val="32"/>
          <w:lang w:val="en-US" w:eastAsia="zh-CN" w:bidi="ar-SA"/>
        </w:rPr>
        <w:t>“</w:t>
      </w:r>
      <w:r>
        <w:rPr>
          <w:rFonts w:ascii="Times New Roman" w:hAnsi="Times New Roman" w:eastAsia="仿宋_GB2312" w:cs="宋体"/>
          <w:color w:val="auto"/>
          <w:kern w:val="0"/>
          <w:sz w:val="32"/>
          <w:szCs w:val="32"/>
          <w:lang w:val="en-US" w:eastAsia="zh-CN" w:bidi="ar-SA"/>
        </w:rPr>
        <w:t>断头路</w:t>
      </w:r>
      <w:r>
        <w:rPr>
          <w:rFonts w:hint="eastAsia" w:ascii="Times New Roman" w:hAnsi="Times New Roman" w:eastAsia="仿宋_GB2312" w:cs="宋体"/>
          <w:color w:val="auto"/>
          <w:kern w:val="0"/>
          <w:sz w:val="32"/>
          <w:szCs w:val="32"/>
          <w:lang w:val="en-US" w:eastAsia="zh-CN" w:bidi="ar-SA"/>
        </w:rPr>
        <w:t>”“瓶颈路”；</w:t>
      </w:r>
      <w:r>
        <w:rPr>
          <w:rFonts w:ascii="Times New Roman" w:hAnsi="Times New Roman" w:eastAsia="仿宋_GB2312" w:cs="宋体"/>
          <w:color w:val="auto"/>
          <w:kern w:val="0"/>
          <w:sz w:val="32"/>
          <w:szCs w:val="32"/>
          <w:lang w:val="en-US" w:eastAsia="zh-CN" w:bidi="ar-SA"/>
        </w:rPr>
        <w:t>加大农村公路渡改桥</w:t>
      </w:r>
      <w:r>
        <w:rPr>
          <w:rFonts w:hint="eastAsia" w:ascii="Times New Roman" w:hAnsi="Times New Roman" w:eastAsia="仿宋_GB2312" w:cs="宋体"/>
          <w:color w:val="auto"/>
          <w:kern w:val="0"/>
          <w:sz w:val="32"/>
          <w:szCs w:val="32"/>
          <w:lang w:val="en-US" w:eastAsia="zh-CN" w:bidi="ar-SA"/>
        </w:rPr>
        <w:t>、新建桥梁</w:t>
      </w:r>
      <w:r>
        <w:rPr>
          <w:rFonts w:ascii="Times New Roman" w:hAnsi="Times New Roman" w:eastAsia="仿宋_GB2312" w:cs="宋体"/>
          <w:color w:val="auto"/>
          <w:kern w:val="0"/>
          <w:sz w:val="32"/>
          <w:szCs w:val="32"/>
          <w:lang w:val="en-US" w:eastAsia="zh-CN" w:bidi="ar-SA"/>
        </w:rPr>
        <w:t>和危桥改造力度</w:t>
      </w:r>
      <w:r>
        <w:rPr>
          <w:rFonts w:hint="eastAsia" w:ascii="Times New Roman" w:hAnsi="Times New Roman" w:eastAsia="仿宋_GB2312" w:cs="宋体"/>
          <w:color w:val="auto"/>
          <w:kern w:val="0"/>
          <w:sz w:val="32"/>
          <w:szCs w:val="32"/>
          <w:lang w:val="en-US" w:eastAsia="zh-CN" w:bidi="ar-SA"/>
        </w:rPr>
        <w:t>；</w:t>
      </w:r>
      <w:r>
        <w:rPr>
          <w:rFonts w:ascii="Times New Roman" w:hAnsi="Times New Roman" w:eastAsia="仿宋_GB2312" w:cs="宋体"/>
          <w:color w:val="auto"/>
          <w:kern w:val="0"/>
          <w:sz w:val="32"/>
          <w:szCs w:val="32"/>
          <w:lang w:val="en-US" w:eastAsia="zh-CN" w:bidi="ar-SA"/>
        </w:rPr>
        <w:t>做好农村公路急弯陡坡、临水临崖等重点路段的安全隐患治理</w:t>
      </w:r>
      <w:r>
        <w:rPr>
          <w:rFonts w:hint="eastAsia" w:ascii="Times New Roman" w:hAnsi="Times New Roman" w:eastAsia="仿宋_GB2312" w:cs="宋体"/>
          <w:color w:val="auto"/>
          <w:kern w:val="0"/>
          <w:sz w:val="32"/>
          <w:szCs w:val="32"/>
          <w:lang w:val="en-US" w:eastAsia="zh-CN" w:bidi="ar-SA"/>
        </w:rPr>
        <w:t>，</w:t>
      </w:r>
      <w:r>
        <w:rPr>
          <w:rFonts w:ascii="Times New Roman" w:hAnsi="Times New Roman" w:eastAsia="仿宋_GB2312" w:cs="宋体"/>
          <w:color w:val="auto"/>
          <w:kern w:val="0"/>
          <w:sz w:val="32"/>
          <w:szCs w:val="32"/>
          <w:lang w:val="en-US" w:eastAsia="zh-CN" w:bidi="ar-SA"/>
        </w:rPr>
        <w:t>加快农村公路安全生命防护工程建设步伐</w:t>
      </w:r>
      <w:r>
        <w:rPr>
          <w:rFonts w:hint="eastAsia" w:ascii="Times New Roman" w:hAnsi="Times New Roman" w:eastAsia="仿宋_GB2312" w:cs="宋体"/>
          <w:color w:val="auto"/>
          <w:kern w:val="0"/>
          <w:sz w:val="32"/>
          <w:szCs w:val="32"/>
          <w:lang w:val="en-US" w:eastAsia="zh-CN" w:bidi="ar-SA"/>
        </w:rPr>
        <w:t>，加快形成县乡村公路网络一体化。推进镇村公交持续健康发展，实现80%镇村公交日常化，加快形成城乡公交一体化。规划建设城北、石塘镇、黄沙河镇等交通物流产业园，推动快递下乡，加快形成城乡物流一体化。</w:t>
      </w:r>
      <w:r>
        <w:rPr>
          <w:rFonts w:hint="eastAsia" w:ascii="Times New Roman" w:hAnsi="Times New Roman" w:eastAsia="仿宋_GB2312" w:cs="仿宋_GB2312"/>
          <w:kern w:val="0"/>
          <w:sz w:val="32"/>
          <w:szCs w:val="32"/>
        </w:rPr>
        <w:t>〔</w:t>
      </w:r>
      <w:r>
        <w:rPr>
          <w:rFonts w:ascii="Times New Roman" w:hAnsi="Times New Roman" w:eastAsia="仿宋_GB2312" w:cs="宋体"/>
          <w:color w:val="auto"/>
          <w:kern w:val="0"/>
          <w:sz w:val="32"/>
          <w:szCs w:val="32"/>
          <w:lang w:val="en-US" w:eastAsia="zh-CN" w:bidi="ar-SA"/>
        </w:rPr>
        <w:t>牵头单位：</w:t>
      </w:r>
      <w:r>
        <w:rPr>
          <w:rFonts w:hint="eastAsia" w:ascii="Times New Roman" w:hAnsi="Times New Roman" w:eastAsia="仿宋_GB2312" w:cs="宋体"/>
          <w:color w:val="auto"/>
          <w:kern w:val="0"/>
          <w:sz w:val="32"/>
          <w:szCs w:val="32"/>
          <w:lang w:val="en-US" w:eastAsia="zh-CN" w:bidi="ar-SA"/>
        </w:rPr>
        <w:t>县交通运输局</w:t>
      </w:r>
      <w:r>
        <w:rPr>
          <w:rFonts w:ascii="Times New Roman" w:hAnsi="Times New Roman" w:eastAsia="仿宋_GB2312" w:cs="宋体"/>
          <w:color w:val="auto"/>
          <w:kern w:val="0"/>
          <w:sz w:val="32"/>
          <w:szCs w:val="32"/>
          <w:lang w:val="en-US" w:eastAsia="zh-CN" w:bidi="ar-SA"/>
        </w:rPr>
        <w:t>；配合单位：</w:t>
      </w:r>
      <w:r>
        <w:rPr>
          <w:rFonts w:hint="eastAsia" w:ascii="Times New Roman" w:hAnsi="Times New Roman" w:eastAsia="仿宋_GB2312" w:cs="宋体"/>
          <w:color w:val="auto"/>
          <w:kern w:val="0"/>
          <w:sz w:val="32"/>
          <w:szCs w:val="32"/>
          <w:lang w:val="en-US" w:eastAsia="zh-CN" w:bidi="ar-SA"/>
        </w:rPr>
        <w:t>各乡（镇）人民政府〕</w:t>
      </w:r>
      <w:bookmarkStart w:id="38" w:name="_Toc12434"/>
    </w:p>
    <w:p w14:paraId="3CB3DBDD">
      <w:pPr>
        <w:overflowPunct w:val="0"/>
        <w:autoSpaceDE w:val="0"/>
        <w:autoSpaceDN w:val="0"/>
        <w:adjustRightInd w:val="0"/>
        <w:snapToGrid w:val="0"/>
        <w:spacing w:line="360" w:lineRule="auto"/>
        <w:jc w:val="center"/>
        <w:outlineLvl w:val="1"/>
        <w:rPr>
          <w:rStyle w:val="20"/>
          <w:rFonts w:ascii="Times New Roman" w:hAnsi="Times New Roman" w:eastAsia="宋体" w:cs="宋体"/>
          <w:b/>
          <w:kern w:val="0"/>
          <w:sz w:val="32"/>
          <w:szCs w:val="32"/>
        </w:rPr>
      </w:pPr>
    </w:p>
    <w:p w14:paraId="38DD5EE6">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kern w:val="0"/>
          <w:sz w:val="32"/>
          <w:szCs w:val="30"/>
        </w:rPr>
      </w:pPr>
      <w:r>
        <w:rPr>
          <w:rStyle w:val="20"/>
          <w:rFonts w:hint="eastAsia" w:ascii="Times New Roman" w:hAnsi="Times New Roman" w:eastAsia="楷体_GB2312" w:cs="楷体_GB2312"/>
          <w:b w:val="0"/>
          <w:bCs/>
          <w:kern w:val="0"/>
          <w:sz w:val="32"/>
          <w:szCs w:val="32"/>
        </w:rPr>
        <w:t>第二节  加快提升通讯基础</w:t>
      </w:r>
      <w:bookmarkEnd w:id="38"/>
    </w:p>
    <w:p w14:paraId="1762C1D6">
      <w:pPr>
        <w:overflowPunct w:val="0"/>
        <w:autoSpaceDE w:val="0"/>
        <w:autoSpaceDN w:val="0"/>
        <w:adjustRightInd w:val="0"/>
        <w:snapToGrid w:val="0"/>
        <w:spacing w:line="360" w:lineRule="auto"/>
        <w:ind w:firstLine="396" w:firstLineChars="200"/>
        <w:rPr>
          <w:rFonts w:ascii="Times New Roman" w:hAnsi="Times New Roman"/>
        </w:rPr>
      </w:pPr>
    </w:p>
    <w:p w14:paraId="40EABBF3">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bookmarkStart w:id="39" w:name="_Toc443173760"/>
      <w:bookmarkStart w:id="40" w:name="_Toc431340356"/>
      <w:bookmarkStart w:id="41" w:name="_Toc32527"/>
      <w:r>
        <w:rPr>
          <w:rFonts w:hint="eastAsia" w:ascii="Times New Roman" w:hAnsi="Times New Roman" w:eastAsia="仿宋_GB2312" w:cs="宋体"/>
          <w:kern w:val="0"/>
          <w:sz w:val="32"/>
          <w:szCs w:val="32"/>
        </w:rPr>
        <w:t>推动“数字全州”建设。加强数字社会、数字政府建设，提升公共服务、社会治理等数字化智能化水平，促进现代信息技术在全县经济社会各领域的广泛应用，推进全县全域信息化进程，加快“数字全州”建设。加快5G通信网络基础设施建设，新建一批5G基站，力争全县境内实现政务服务、社会治理、远程教学、远程医疗、电子商务、农业科技、智慧旅游、智慧工业、场景监控与公共信息传播等信息服务。推动城市管理、公共安全、环境建设、公共服务等方面实现智慧式管理和运行。加快道路交通、市政园林、大公共建筑物等基础设施实施数字化布局、智能化改造，提高信息化应用水平。加速实现县内无线通信信号无缝覆盖，消除自然村、交通沿线、旅游景区和林场的通信盲区。</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县工业和信息化局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县交通运输局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县文化广电体育和旅游局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中国</w:t>
      </w:r>
      <w:r>
        <w:rPr>
          <w:rFonts w:hint="eastAsia" w:ascii="Times New Roman" w:hAnsi="Times New Roman" w:eastAsia="仿宋_GB2312" w:cs="宋体"/>
          <w:kern w:val="0"/>
          <w:sz w:val="32"/>
          <w:szCs w:val="32"/>
        </w:rPr>
        <w:t>移动</w:t>
      </w:r>
      <w:r>
        <w:rPr>
          <w:rFonts w:hint="eastAsia" w:ascii="Times New Roman" w:hAnsi="Times New Roman" w:eastAsia="仿宋_GB2312" w:cs="宋体"/>
          <w:kern w:val="0"/>
          <w:sz w:val="32"/>
          <w:szCs w:val="32"/>
          <w:lang w:eastAsia="zh-CN"/>
        </w:rPr>
        <w:t>全州分</w:t>
      </w:r>
      <w:r>
        <w:rPr>
          <w:rFonts w:hint="eastAsia" w:ascii="Times New Roman" w:hAnsi="Times New Roman" w:eastAsia="仿宋_GB2312" w:cs="宋体"/>
          <w:kern w:val="0"/>
          <w:sz w:val="32"/>
          <w:szCs w:val="32"/>
        </w:rPr>
        <w:t>公司、</w:t>
      </w:r>
      <w:r>
        <w:rPr>
          <w:rFonts w:hint="eastAsia" w:ascii="Times New Roman" w:hAnsi="Times New Roman" w:eastAsia="仿宋_GB2312" w:cs="宋体"/>
          <w:kern w:val="0"/>
          <w:sz w:val="32"/>
          <w:szCs w:val="32"/>
          <w:lang w:eastAsia="zh-CN"/>
        </w:rPr>
        <w:t>中国</w:t>
      </w:r>
      <w:r>
        <w:rPr>
          <w:rFonts w:hint="eastAsia" w:ascii="Times New Roman" w:hAnsi="Times New Roman" w:eastAsia="仿宋_GB2312" w:cs="宋体"/>
          <w:kern w:val="0"/>
          <w:sz w:val="32"/>
          <w:szCs w:val="32"/>
        </w:rPr>
        <w:t>电信</w:t>
      </w:r>
      <w:r>
        <w:rPr>
          <w:rFonts w:hint="eastAsia" w:ascii="Times New Roman" w:hAnsi="Times New Roman" w:eastAsia="仿宋_GB2312" w:cs="宋体"/>
          <w:kern w:val="0"/>
          <w:sz w:val="32"/>
          <w:szCs w:val="32"/>
          <w:lang w:eastAsia="zh-CN"/>
        </w:rPr>
        <w:t>全州分</w:t>
      </w:r>
      <w:r>
        <w:rPr>
          <w:rFonts w:hint="eastAsia" w:ascii="Times New Roman" w:hAnsi="Times New Roman" w:eastAsia="仿宋_GB2312" w:cs="宋体"/>
          <w:kern w:val="0"/>
          <w:sz w:val="32"/>
          <w:szCs w:val="32"/>
        </w:rPr>
        <w:t>公司</w:t>
      </w:r>
      <w:r>
        <w:rPr>
          <w:rFonts w:ascii="Times New Roman" w:hAnsi="Times New Roman" w:eastAsia="仿宋_GB2312" w:cs="宋体"/>
          <w:kern w:val="0"/>
          <w:sz w:val="32"/>
          <w:szCs w:val="32"/>
        </w:rPr>
        <w:t>）</w:t>
      </w:r>
    </w:p>
    <w:p w14:paraId="0699F82B">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大力建设“数字乡村”。要统筹推进“数字乡村”</w:t>
      </w:r>
      <w:r>
        <w:rPr>
          <w:rFonts w:hint="eastAsia" w:ascii="Times New Roman" w:hAnsi="Times New Roman" w:eastAsia="仿宋_GB2312" w:cs="宋体"/>
          <w:kern w:val="0"/>
          <w:sz w:val="32"/>
          <w:szCs w:val="30"/>
        </w:rPr>
        <w:t>建设。积极引导各通讯运营商、电商、金融机构等共同推进信息进村入户，多渠道筹措资金，加大投资，大力推进农村光纤宽带和网络等信息基础设施建设，实现全县各村以及各20户以上的村民小组5G网络全覆盖、光纤宽带全覆盖、通讯信号全覆盖、有线电视全覆盖等“四个全覆盖”。推动“互联网+”向农村基层延伸，提高村级综合服务信息化水平，全面实现产业上行、信息发布、民情收集、议事协商、公共服务、应急管控等村级事务网上运行。加快乡村规划管理信息化，推动乡村规划上图入库、在线</w:t>
      </w:r>
      <w:r>
        <w:rPr>
          <w:rFonts w:hint="eastAsia" w:ascii="Times New Roman" w:hAnsi="Times New Roman" w:eastAsia="仿宋_GB2312" w:cs="宋体"/>
          <w:kern w:val="0"/>
          <w:sz w:val="32"/>
          <w:szCs w:val="32"/>
        </w:rPr>
        <w:t>查询、实时跟踪。把数据建设作为实施数字乡村建设的重要内容</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推进城乡信息资源整合共享与利用</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完善民生保障信息化服务。让人</w:t>
      </w:r>
      <w:r>
        <w:rPr>
          <w:rFonts w:hint="eastAsia" w:ascii="Times New Roman" w:hAnsi="Times New Roman" w:eastAsia="仿宋_GB2312" w:cs="宋体"/>
          <w:kern w:val="0"/>
          <w:sz w:val="32"/>
          <w:szCs w:val="32"/>
          <w:lang w:val="en-US" w:eastAsia="zh-CN"/>
        </w:rPr>
        <w:t>民</w:t>
      </w:r>
      <w:r>
        <w:rPr>
          <w:rFonts w:hint="eastAsia" w:ascii="Times New Roman" w:hAnsi="Times New Roman" w:eastAsia="仿宋_GB2312" w:cs="宋体"/>
          <w:kern w:val="0"/>
          <w:sz w:val="32"/>
          <w:szCs w:val="32"/>
        </w:rPr>
        <w:t>群众有更多的获得感、幸福感、安全感。</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县工业和信息化局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中国</w:t>
      </w:r>
      <w:r>
        <w:rPr>
          <w:rFonts w:hint="eastAsia" w:ascii="Times New Roman" w:hAnsi="Times New Roman" w:eastAsia="仿宋_GB2312" w:cs="宋体"/>
          <w:kern w:val="0"/>
          <w:sz w:val="32"/>
          <w:szCs w:val="32"/>
        </w:rPr>
        <w:t>移动</w:t>
      </w:r>
      <w:r>
        <w:rPr>
          <w:rFonts w:hint="eastAsia" w:ascii="Times New Roman" w:hAnsi="Times New Roman" w:eastAsia="仿宋_GB2312" w:cs="宋体"/>
          <w:kern w:val="0"/>
          <w:sz w:val="32"/>
          <w:szCs w:val="32"/>
          <w:lang w:eastAsia="zh-CN"/>
        </w:rPr>
        <w:t>全州分</w:t>
      </w:r>
      <w:r>
        <w:rPr>
          <w:rFonts w:hint="eastAsia" w:ascii="Times New Roman" w:hAnsi="Times New Roman" w:eastAsia="仿宋_GB2312" w:cs="宋体"/>
          <w:kern w:val="0"/>
          <w:sz w:val="32"/>
          <w:szCs w:val="32"/>
        </w:rPr>
        <w:t>公司、</w:t>
      </w:r>
      <w:r>
        <w:rPr>
          <w:rFonts w:hint="eastAsia" w:ascii="Times New Roman" w:hAnsi="Times New Roman" w:eastAsia="仿宋_GB2312" w:cs="宋体"/>
          <w:kern w:val="0"/>
          <w:sz w:val="32"/>
          <w:szCs w:val="32"/>
          <w:lang w:eastAsia="zh-CN"/>
        </w:rPr>
        <w:t>中国</w:t>
      </w:r>
      <w:r>
        <w:rPr>
          <w:rFonts w:hint="eastAsia" w:ascii="Times New Roman" w:hAnsi="Times New Roman" w:eastAsia="仿宋_GB2312" w:cs="宋体"/>
          <w:kern w:val="0"/>
          <w:sz w:val="32"/>
          <w:szCs w:val="32"/>
        </w:rPr>
        <w:t>电信</w:t>
      </w:r>
      <w:r>
        <w:rPr>
          <w:rFonts w:hint="eastAsia" w:ascii="Times New Roman" w:hAnsi="Times New Roman" w:eastAsia="仿宋_GB2312" w:cs="宋体"/>
          <w:kern w:val="0"/>
          <w:sz w:val="32"/>
          <w:szCs w:val="32"/>
          <w:lang w:eastAsia="zh-CN"/>
        </w:rPr>
        <w:t>全州分</w:t>
      </w:r>
      <w:r>
        <w:rPr>
          <w:rFonts w:hint="eastAsia" w:ascii="Times New Roman" w:hAnsi="Times New Roman" w:eastAsia="仿宋_GB2312" w:cs="宋体"/>
          <w:kern w:val="0"/>
          <w:sz w:val="32"/>
          <w:szCs w:val="32"/>
        </w:rPr>
        <w:t>公司</w:t>
      </w:r>
      <w:r>
        <w:rPr>
          <w:rFonts w:ascii="Times New Roman" w:hAnsi="Times New Roman" w:eastAsia="仿宋_GB2312" w:cs="宋体"/>
          <w:kern w:val="0"/>
          <w:sz w:val="32"/>
          <w:szCs w:val="32"/>
        </w:rPr>
        <w:t>）</w:t>
      </w:r>
    </w:p>
    <w:p w14:paraId="0FC627CE">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加快推进“数字农业”。要统筹推进数字农业发展，依托农业农村基础数据资源体系，构建全</w:t>
      </w:r>
      <w:r>
        <w:rPr>
          <w:rFonts w:hint="eastAsia" w:ascii="Times New Roman" w:hAnsi="Times New Roman" w:eastAsia="仿宋_GB2312" w:cs="宋体"/>
          <w:kern w:val="0"/>
          <w:sz w:val="32"/>
          <w:szCs w:val="30"/>
        </w:rPr>
        <w:t>县农业农村大数据平台，重点推进自然资源大数据、农业种质资源大数据、农户和新型农业经营主体大数据，以及农产品市场资源动态大数据。</w:t>
      </w:r>
      <w:r>
        <w:rPr>
          <w:rFonts w:hint="eastAsia" w:ascii="Times New Roman" w:hAnsi="Times New Roman" w:eastAsia="楷体_GB2312"/>
          <w:sz w:val="32"/>
          <w:szCs w:val="32"/>
        </w:rPr>
        <w:t>建</w:t>
      </w:r>
      <w:r>
        <w:rPr>
          <w:rFonts w:hint="eastAsia" w:ascii="Times New Roman" w:hAnsi="Times New Roman" w:eastAsia="仿宋_GB2312" w:cs="宋体"/>
          <w:kern w:val="0"/>
          <w:sz w:val="32"/>
          <w:szCs w:val="30"/>
        </w:rPr>
        <w:t>设重要的农产品全产业链的大数据</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围绕优势产业从生产、加工、流通、销售、防灾减灾等各个环节</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加快数字化的指导</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打通数据链、重构供应链、提升价值链</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促进一二三产业融合发展</w:t>
      </w:r>
      <w:r>
        <w:rPr>
          <w:rFonts w:hint="eastAsia" w:ascii="Times New Roman" w:hAnsi="Times New Roman" w:eastAsia="仿宋_GB2312" w:cs="宋体"/>
          <w:color w:val="auto"/>
          <w:kern w:val="0"/>
          <w:sz w:val="32"/>
          <w:szCs w:val="30"/>
        </w:rPr>
        <w:t>。以数据驱动农业产业的高速发展。为</w:t>
      </w:r>
      <w:r>
        <w:rPr>
          <w:rFonts w:hint="eastAsia" w:ascii="Times New Roman" w:hAnsi="Times New Roman" w:eastAsia="仿宋_GB2312" w:cs="宋体"/>
          <w:kern w:val="0"/>
          <w:sz w:val="32"/>
          <w:szCs w:val="30"/>
        </w:rPr>
        <w:t>市场预警、政策评估</w:t>
      </w:r>
      <w:r>
        <w:rPr>
          <w:rFonts w:hint="eastAsia" w:ascii="Times New Roman" w:hAnsi="Times New Roman" w:eastAsia="仿宋_GB2312" w:cs="宋体"/>
          <w:kern w:val="0"/>
          <w:sz w:val="32"/>
          <w:szCs w:val="32"/>
        </w:rPr>
        <w:t>、监管执法、资源管理、舆情分析、乡村治理等决策提供支持服务，推进管理服务线上线下相结合，促进数据融合和业务协同，提高宏观管理的科学性。</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中国</w:t>
      </w:r>
      <w:r>
        <w:rPr>
          <w:rFonts w:hint="eastAsia" w:ascii="Times New Roman" w:hAnsi="Times New Roman" w:eastAsia="仿宋_GB2312" w:cs="宋体"/>
          <w:kern w:val="0"/>
          <w:sz w:val="32"/>
          <w:szCs w:val="32"/>
        </w:rPr>
        <w:t>移动</w:t>
      </w:r>
      <w:r>
        <w:rPr>
          <w:rFonts w:hint="eastAsia" w:ascii="Times New Roman" w:hAnsi="Times New Roman" w:eastAsia="仿宋_GB2312" w:cs="宋体"/>
          <w:kern w:val="0"/>
          <w:sz w:val="32"/>
          <w:szCs w:val="32"/>
          <w:lang w:eastAsia="zh-CN"/>
        </w:rPr>
        <w:t>全州分</w:t>
      </w:r>
      <w:r>
        <w:rPr>
          <w:rFonts w:hint="eastAsia" w:ascii="Times New Roman" w:hAnsi="Times New Roman" w:eastAsia="仿宋_GB2312" w:cs="宋体"/>
          <w:kern w:val="0"/>
          <w:sz w:val="32"/>
          <w:szCs w:val="32"/>
        </w:rPr>
        <w:t>公司、</w:t>
      </w:r>
      <w:r>
        <w:rPr>
          <w:rFonts w:hint="eastAsia" w:ascii="Times New Roman" w:hAnsi="Times New Roman" w:eastAsia="仿宋_GB2312" w:cs="宋体"/>
          <w:kern w:val="0"/>
          <w:sz w:val="32"/>
          <w:szCs w:val="32"/>
          <w:lang w:eastAsia="zh-CN"/>
        </w:rPr>
        <w:t>中国</w:t>
      </w:r>
      <w:r>
        <w:rPr>
          <w:rFonts w:hint="eastAsia" w:ascii="Times New Roman" w:hAnsi="Times New Roman" w:eastAsia="仿宋_GB2312" w:cs="宋体"/>
          <w:kern w:val="0"/>
          <w:sz w:val="32"/>
          <w:szCs w:val="32"/>
        </w:rPr>
        <w:t>电信</w:t>
      </w:r>
      <w:r>
        <w:rPr>
          <w:rFonts w:hint="eastAsia" w:ascii="Times New Roman" w:hAnsi="Times New Roman" w:eastAsia="仿宋_GB2312" w:cs="宋体"/>
          <w:kern w:val="0"/>
          <w:sz w:val="32"/>
          <w:szCs w:val="32"/>
          <w:lang w:eastAsia="zh-CN"/>
        </w:rPr>
        <w:t>全州分</w:t>
      </w:r>
      <w:r>
        <w:rPr>
          <w:rFonts w:hint="eastAsia" w:ascii="Times New Roman" w:hAnsi="Times New Roman" w:eastAsia="仿宋_GB2312" w:cs="宋体"/>
          <w:kern w:val="0"/>
          <w:sz w:val="32"/>
          <w:szCs w:val="32"/>
        </w:rPr>
        <w:t>公司</w:t>
      </w:r>
      <w:r>
        <w:rPr>
          <w:rFonts w:ascii="Times New Roman" w:hAnsi="Times New Roman" w:eastAsia="仿宋_GB2312" w:cs="宋体"/>
          <w:kern w:val="0"/>
          <w:sz w:val="32"/>
          <w:szCs w:val="32"/>
        </w:rPr>
        <w:t>）</w:t>
      </w:r>
    </w:p>
    <w:p w14:paraId="3DC0383F">
      <w:pPr>
        <w:overflowPunct w:val="0"/>
        <w:autoSpaceDE w:val="0"/>
        <w:autoSpaceDN w:val="0"/>
        <w:adjustRightInd w:val="0"/>
        <w:snapToGrid w:val="0"/>
        <w:spacing w:line="360" w:lineRule="auto"/>
        <w:ind w:firstLine="616" w:firstLineChars="200"/>
        <w:rPr>
          <w:rFonts w:ascii="Times New Roman" w:hAnsi="Times New Roman"/>
        </w:rPr>
      </w:pPr>
      <w:r>
        <w:rPr>
          <w:rFonts w:hint="eastAsia" w:ascii="Times New Roman" w:hAnsi="Times New Roman" w:eastAsia="仿宋_GB2312" w:cs="宋体"/>
          <w:kern w:val="0"/>
          <w:sz w:val="32"/>
          <w:szCs w:val="32"/>
        </w:rPr>
        <w:t>加快普及农村信息化服务。</w:t>
      </w:r>
      <w:r>
        <w:rPr>
          <w:rFonts w:hint="eastAsia" w:ascii="Times New Roman" w:hAnsi="Times New Roman" w:eastAsia="仿宋_GB2312" w:cs="宋体"/>
          <w:kern w:val="0"/>
          <w:sz w:val="32"/>
          <w:szCs w:val="30"/>
        </w:rPr>
        <w:t>全面实施信息进村入户工程</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加快经济益农信息社建设</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鼓励支持益农信息社拓展服务的广度和知度。加强信息人员队伍建设，跨立培育新农民</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利用信息技术和数据资源</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开展创新创业</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发展生产性服务业</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创造良好环境</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要以信息服务的便捷力不降低</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服务质量不下降为前提</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妥善处理好</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要加大农民手机应用技能培训力度</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让手机尽快成为农民的“新农</w:t>
      </w:r>
      <w:r>
        <w:rPr>
          <w:rFonts w:hint="eastAsia" w:ascii="Times New Roman" w:hAnsi="Times New Roman" w:eastAsia="仿宋_GB2312" w:cs="宋体"/>
          <w:kern w:val="0"/>
          <w:sz w:val="32"/>
          <w:szCs w:val="32"/>
        </w:rPr>
        <w:t>具”。</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中国</w:t>
      </w:r>
      <w:r>
        <w:rPr>
          <w:rFonts w:hint="eastAsia" w:ascii="Times New Roman" w:hAnsi="Times New Roman" w:eastAsia="仿宋_GB2312" w:cs="宋体"/>
          <w:kern w:val="0"/>
          <w:sz w:val="32"/>
          <w:szCs w:val="32"/>
        </w:rPr>
        <w:t>移动</w:t>
      </w:r>
      <w:r>
        <w:rPr>
          <w:rFonts w:hint="eastAsia" w:ascii="Times New Roman" w:hAnsi="Times New Roman" w:eastAsia="仿宋_GB2312" w:cs="宋体"/>
          <w:kern w:val="0"/>
          <w:sz w:val="32"/>
          <w:szCs w:val="32"/>
          <w:lang w:eastAsia="zh-CN"/>
        </w:rPr>
        <w:t>全州分</w:t>
      </w:r>
      <w:r>
        <w:rPr>
          <w:rFonts w:hint="eastAsia" w:ascii="Times New Roman" w:hAnsi="Times New Roman" w:eastAsia="仿宋_GB2312" w:cs="宋体"/>
          <w:kern w:val="0"/>
          <w:sz w:val="32"/>
          <w:szCs w:val="32"/>
        </w:rPr>
        <w:t>公司、</w:t>
      </w:r>
      <w:r>
        <w:rPr>
          <w:rFonts w:hint="eastAsia" w:ascii="Times New Roman" w:hAnsi="Times New Roman" w:eastAsia="仿宋_GB2312" w:cs="宋体"/>
          <w:kern w:val="0"/>
          <w:sz w:val="32"/>
          <w:szCs w:val="32"/>
          <w:lang w:eastAsia="zh-CN"/>
        </w:rPr>
        <w:t>中国</w:t>
      </w:r>
      <w:r>
        <w:rPr>
          <w:rFonts w:hint="eastAsia" w:ascii="Times New Roman" w:hAnsi="Times New Roman" w:eastAsia="仿宋_GB2312" w:cs="宋体"/>
          <w:kern w:val="0"/>
          <w:sz w:val="32"/>
          <w:szCs w:val="32"/>
        </w:rPr>
        <w:t>电信</w:t>
      </w:r>
      <w:r>
        <w:rPr>
          <w:rFonts w:hint="eastAsia" w:ascii="Times New Roman" w:hAnsi="Times New Roman" w:eastAsia="仿宋_GB2312" w:cs="宋体"/>
          <w:kern w:val="0"/>
          <w:sz w:val="32"/>
          <w:szCs w:val="32"/>
          <w:lang w:eastAsia="zh-CN"/>
        </w:rPr>
        <w:t>全州分</w:t>
      </w:r>
      <w:r>
        <w:rPr>
          <w:rFonts w:hint="eastAsia" w:ascii="Times New Roman" w:hAnsi="Times New Roman" w:eastAsia="仿宋_GB2312" w:cs="宋体"/>
          <w:kern w:val="0"/>
          <w:sz w:val="32"/>
          <w:szCs w:val="32"/>
        </w:rPr>
        <w:t>公司</w:t>
      </w:r>
      <w:r>
        <w:rPr>
          <w:rFonts w:ascii="Times New Roman" w:hAnsi="Times New Roman" w:eastAsia="仿宋_GB2312" w:cs="宋体"/>
          <w:kern w:val="0"/>
          <w:sz w:val="32"/>
          <w:szCs w:val="32"/>
        </w:rPr>
        <w:t>）</w:t>
      </w:r>
    </w:p>
    <w:bookmarkEnd w:id="39"/>
    <w:bookmarkEnd w:id="40"/>
    <w:p w14:paraId="2179D394">
      <w:pPr>
        <w:overflowPunct w:val="0"/>
        <w:autoSpaceDE w:val="0"/>
        <w:autoSpaceDN w:val="0"/>
        <w:adjustRightInd w:val="0"/>
        <w:snapToGrid w:val="0"/>
        <w:spacing w:line="360" w:lineRule="auto"/>
        <w:jc w:val="center"/>
        <w:outlineLvl w:val="1"/>
        <w:rPr>
          <w:rFonts w:ascii="Times New Roman" w:hAnsi="Times New Roman" w:eastAsia="宋体" w:cs="宋体"/>
          <w:b/>
          <w:kern w:val="0"/>
          <w:sz w:val="32"/>
          <w:szCs w:val="32"/>
        </w:rPr>
      </w:pPr>
      <w:bookmarkStart w:id="42" w:name="_Toc20700"/>
      <w:bookmarkStart w:id="43" w:name="_Toc17347"/>
    </w:p>
    <w:p w14:paraId="3C9F99BC">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kern w:val="0"/>
          <w:sz w:val="32"/>
          <w:szCs w:val="32"/>
        </w:rPr>
      </w:pPr>
      <w:r>
        <w:rPr>
          <w:rFonts w:hint="eastAsia" w:ascii="Times New Roman" w:hAnsi="Times New Roman" w:eastAsia="楷体_GB2312" w:cs="楷体_GB2312"/>
          <w:b w:val="0"/>
          <w:bCs/>
          <w:kern w:val="0"/>
          <w:sz w:val="32"/>
          <w:szCs w:val="32"/>
        </w:rPr>
        <w:t>第三节  继续夯实水利保障</w:t>
      </w:r>
      <w:bookmarkEnd w:id="42"/>
      <w:bookmarkEnd w:id="43"/>
    </w:p>
    <w:p w14:paraId="2B15C44C">
      <w:pPr>
        <w:overflowPunct w:val="0"/>
        <w:autoSpaceDE w:val="0"/>
        <w:autoSpaceDN w:val="0"/>
        <w:adjustRightInd w:val="0"/>
        <w:snapToGrid w:val="0"/>
        <w:spacing w:line="360" w:lineRule="auto"/>
        <w:ind w:firstLine="396" w:firstLineChars="200"/>
        <w:rPr>
          <w:rFonts w:ascii="Times New Roman" w:hAnsi="Times New Roman" w:eastAsia="仿宋_GB2312" w:cs="宋体"/>
          <w:kern w:val="0"/>
          <w:szCs w:val="21"/>
        </w:rPr>
      </w:pPr>
    </w:p>
    <w:p w14:paraId="574A6EFD">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0"/>
        </w:rPr>
        <w:t>充分利用国家新一轮水库加固除险、10亿亩高标准农田建设以及推进小流域综合治理的机会，统筹资金投入，实施新的水利“亿元工程”，逐步全县完善水利基础设施，加快灾后水利薄弱环节建设，加快推进</w:t>
      </w:r>
      <w:r>
        <w:rPr>
          <w:rFonts w:hint="eastAsia" w:ascii="Times New Roman" w:hAnsi="Times New Roman" w:eastAsia="仿宋_GB2312" w:cs="宋体"/>
          <w:kern w:val="0"/>
          <w:sz w:val="32"/>
          <w:szCs w:val="32"/>
        </w:rPr>
        <w:t>骨干水源、城乡饮水安全、农田灌溉、防洪排涝、水能资源开发和中小河流治理工程等薄弱环节建设，夯实县域水利基础。</w:t>
      </w:r>
    </w:p>
    <w:p w14:paraId="58BA1954">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切实做好城乡供水，增强县城供水能力与污水处理能力，保障日常生活和工业用水。推动城镇供水设施向农村延伸，采取管网延伸扩大供水区域，扩大农村饮水</w:t>
      </w:r>
      <w:r>
        <w:rPr>
          <w:rFonts w:hint="eastAsia" w:ascii="Times New Roman" w:hAnsi="Times New Roman" w:eastAsia="仿宋_GB2312" w:cs="宋体"/>
          <w:kern w:val="0"/>
          <w:sz w:val="32"/>
          <w:szCs w:val="30"/>
        </w:rPr>
        <w:t>安全覆盖范围，实现农村自来水普及率达到90%以上。推进农村饮水安全巩固提升、水体环境保护工程建设，建设蓄水池、铺设饮水管网和安装附属设备</w:t>
      </w:r>
      <w:r>
        <w:rPr>
          <w:rFonts w:hint="eastAsia" w:ascii="Times New Roman" w:hAnsi="Times New Roman" w:eastAsia="仿宋_GB2312" w:cs="宋体"/>
          <w:kern w:val="0"/>
          <w:sz w:val="32"/>
          <w:szCs w:val="32"/>
        </w:rPr>
        <w:t>等，进一步强化水源地保护与水污染治理，完善农村饮水工程水质检测监测体系，提升农村饮水安全监管水平。不断提高农业农村生产生活和防汛抗旱能力。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县城市管理监督局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县住房城乡建设局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19868BC6">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积极推广节水技术。结合标准</w:t>
      </w:r>
      <w:r>
        <w:rPr>
          <w:rFonts w:hint="eastAsia" w:ascii="Times New Roman" w:hAnsi="Times New Roman" w:eastAsia="仿宋_GB2312" w:cs="宋体"/>
          <w:kern w:val="0"/>
          <w:sz w:val="32"/>
          <w:szCs w:val="30"/>
        </w:rPr>
        <w:t>农田建设，加快推进全县重点中型灌区续建配套工程，提高全县新增节水灌溉面积、有效灌溉面积、旱地灌溉面积。提高农田水利的灌排能力和灌溉水利用系数，重点推进节水灌溉工程建设，切实增强农田灌排能力，保障粮食生产安全。完成主要灌区标准化农田改造。在有条件的连片农业生产基地进行滴灌、喷灌等节水灌溉示范，用先进、高效的设备装备农业，新增与恢复农田有效灌溉面积6.8万亩，新增</w:t>
      </w:r>
      <w:r>
        <w:rPr>
          <w:rFonts w:hint="eastAsia" w:ascii="Times New Roman" w:hAnsi="Times New Roman" w:eastAsia="仿宋_GB2312" w:cs="宋体"/>
          <w:kern w:val="0"/>
          <w:sz w:val="32"/>
          <w:szCs w:val="32"/>
        </w:rPr>
        <w:t>节水灌溉面积3万亩，农业灌溉用水有效利用系数提高到0.6以上，重要饮用水源区水质指标达标率97%，重要江河湖泊水功能区达标率97%以上。</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29567D6E">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加快中小河流治理和水土保持重点工程项目建设。实</w:t>
      </w:r>
      <w:r>
        <w:rPr>
          <w:rFonts w:hint="eastAsia" w:ascii="Times New Roman" w:hAnsi="Times New Roman" w:eastAsia="仿宋_GB2312" w:cs="宋体"/>
          <w:kern w:val="0"/>
          <w:sz w:val="32"/>
          <w:szCs w:val="30"/>
        </w:rPr>
        <w:t>施山川河、万乡河、</w:t>
      </w:r>
      <w:r>
        <w:rPr>
          <w:rFonts w:hint="eastAsia" w:ascii="Times New Roman" w:hAnsi="Times New Roman" w:eastAsia="仿宋_GB2312" w:cs="宋体"/>
          <w:color w:val="000000" w:themeColor="text1"/>
          <w:kern w:val="0"/>
          <w:sz w:val="32"/>
          <w:szCs w:val="30"/>
        </w:rPr>
        <w:t>建江河、</w:t>
      </w:r>
      <w:r>
        <w:rPr>
          <w:rFonts w:hint="eastAsia" w:ascii="Times New Roman" w:hAnsi="Times New Roman" w:eastAsia="仿宋_GB2312" w:cs="宋体"/>
          <w:kern w:val="0"/>
          <w:sz w:val="32"/>
          <w:szCs w:val="30"/>
        </w:rPr>
        <w:t>全州河等中小河流防洪治理工程，提升防洪和水土保持能力。加快推进农村中小型水库特别是病险水库的整修扩容，提高水库蓄水能力和防洪减灾能力，加快推进洛潭水库、磨盘水库、灌江水库等病险水库除险加固，加快白宝</w:t>
      </w:r>
      <w:r>
        <w:rPr>
          <w:rFonts w:hint="eastAsia" w:ascii="Times New Roman" w:hAnsi="Times New Roman" w:eastAsia="仿宋_GB2312" w:cs="宋体"/>
          <w:kern w:val="0"/>
          <w:sz w:val="32"/>
          <w:szCs w:val="30"/>
          <w:lang w:eastAsia="zh-CN"/>
        </w:rPr>
        <w:t>乡</w:t>
      </w:r>
      <w:r>
        <w:rPr>
          <w:rFonts w:hint="eastAsia" w:ascii="Times New Roman" w:hAnsi="Times New Roman" w:eastAsia="仿宋_GB2312" w:cs="宋体"/>
          <w:kern w:val="0"/>
          <w:sz w:val="32"/>
          <w:szCs w:val="30"/>
        </w:rPr>
        <w:t>、东山</w:t>
      </w:r>
      <w:r>
        <w:rPr>
          <w:rFonts w:hint="eastAsia" w:ascii="Times New Roman" w:hAnsi="Times New Roman" w:eastAsia="仿宋_GB2312" w:cs="宋体"/>
          <w:kern w:val="0"/>
          <w:sz w:val="32"/>
          <w:szCs w:val="30"/>
          <w:lang w:eastAsia="zh-CN"/>
        </w:rPr>
        <w:t>瑶族乡</w:t>
      </w:r>
      <w:r>
        <w:rPr>
          <w:rFonts w:hint="eastAsia" w:ascii="Times New Roman" w:hAnsi="Times New Roman" w:eastAsia="仿宋_GB2312" w:cs="宋体"/>
          <w:kern w:val="0"/>
          <w:sz w:val="32"/>
          <w:szCs w:val="30"/>
        </w:rPr>
        <w:t>等缺水少水的山丘区水库水源以及城市应急水源建设，完善灌区供水、灌溉、排涝等水利设施。重点加强干旱村庄治理，恢复缺水少水山区年久失修的防洪、灌溉（引水）水渠建设以及山塘改造；鼓励社会资本投入水利基础设施建设。到2025年，主要支流的重点河段堤防达到规划标准，重点乡（镇）达到国家规定的防洪标准，重点低洼地区和粮食主产区排涝标准基本达到5年一遇以上，基本建成基础牢固、洪</w:t>
      </w:r>
      <w:r>
        <w:rPr>
          <w:rFonts w:hint="eastAsia" w:ascii="Times New Roman" w:hAnsi="Times New Roman" w:eastAsia="仿宋_GB2312" w:cs="宋体"/>
          <w:kern w:val="0"/>
          <w:sz w:val="32"/>
          <w:szCs w:val="32"/>
        </w:rPr>
        <w:t>旱兼筹、节水增效、水资源合理配置和高效利用的安全水利保障体系。</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15AAA6B4">
      <w:pPr>
        <w:pStyle w:val="16"/>
        <w:overflowPunct w:val="0"/>
        <w:autoSpaceDE w:val="0"/>
        <w:autoSpaceDN w:val="0"/>
        <w:adjustRightInd w:val="0"/>
        <w:snapToGrid w:val="0"/>
        <w:spacing w:after="0" w:line="360" w:lineRule="auto"/>
        <w:ind w:firstLine="394"/>
        <w:rPr>
          <w:rFonts w:ascii="Times New Roman" w:hAnsi="Times New Roman" w:eastAsia="仿宋_GB2312" w:cs="宋体"/>
          <w:kern w:val="0"/>
          <w:szCs w:val="21"/>
        </w:rPr>
      </w:pPr>
    </w:p>
    <w:p w14:paraId="24B051B0">
      <w:pPr>
        <w:pStyle w:val="16"/>
        <w:overflowPunct w:val="0"/>
        <w:autoSpaceDE w:val="0"/>
        <w:autoSpaceDN w:val="0"/>
        <w:adjustRightInd w:val="0"/>
        <w:snapToGrid w:val="0"/>
        <w:spacing w:after="0" w:line="360" w:lineRule="auto"/>
        <w:ind w:firstLine="0" w:firstLineChars="0"/>
        <w:jc w:val="center"/>
        <w:rPr>
          <w:rFonts w:hint="eastAsia" w:ascii="Times New Roman" w:hAnsi="Times New Roman" w:eastAsia="楷体_GB2312" w:cs="楷体_GB2312"/>
          <w:b w:val="0"/>
          <w:bCs/>
          <w:kern w:val="0"/>
          <w:sz w:val="32"/>
          <w:szCs w:val="32"/>
        </w:rPr>
      </w:pPr>
      <w:r>
        <w:rPr>
          <w:rFonts w:hint="eastAsia" w:ascii="Times New Roman" w:hAnsi="Times New Roman" w:eastAsia="楷体_GB2312" w:cs="楷体_GB2312"/>
          <w:b w:val="0"/>
          <w:bCs/>
          <w:kern w:val="0"/>
          <w:sz w:val="32"/>
          <w:szCs w:val="32"/>
        </w:rPr>
        <w:t>第四节  构建多元能源保障体系</w:t>
      </w:r>
    </w:p>
    <w:p w14:paraId="3B9FDD99">
      <w:pPr>
        <w:pStyle w:val="16"/>
        <w:overflowPunct w:val="0"/>
        <w:autoSpaceDE w:val="0"/>
        <w:autoSpaceDN w:val="0"/>
        <w:adjustRightInd w:val="0"/>
        <w:snapToGrid w:val="0"/>
        <w:spacing w:after="0" w:line="360" w:lineRule="auto"/>
        <w:ind w:firstLine="0" w:firstLineChars="0"/>
        <w:rPr>
          <w:rFonts w:ascii="Times New Roman" w:hAnsi="Times New Roman" w:eastAsia="仿宋_GB2312" w:cs="宋体"/>
          <w:kern w:val="0"/>
          <w:szCs w:val="21"/>
        </w:rPr>
      </w:pPr>
    </w:p>
    <w:p w14:paraId="45AA0B1C">
      <w:pPr>
        <w:pStyle w:val="16"/>
        <w:overflowPunct w:val="0"/>
        <w:autoSpaceDE w:val="0"/>
        <w:autoSpaceDN w:val="0"/>
        <w:adjustRightInd w:val="0"/>
        <w:snapToGrid w:val="0"/>
        <w:spacing w:after="0" w:line="360" w:lineRule="auto"/>
        <w:ind w:firstLine="614"/>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0"/>
        </w:rPr>
        <w:t>大力发展清洁能源，积极发展分布式能源，稳步推进风电、光伏发电、储能项目建设。加快优化能源结构，构建清洁低碳、安全高效的现代能源体系。推进全县城乡用电“一张网”，加快绿色智能电网建设，增强农村、边远地区供电能力和供电质量。理顺油气管网体制，健全油气管理体系。建设智慧能源系统，加快综合供能服务站建设，提升新能源消纳和存储能力。提升油、煤、气等应急储备能力。强化能源监测预警，保障能源运行安全。</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县工业和信息化局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县发展改革局、全州供电公司、各乡（镇）人民政府〕</w:t>
      </w:r>
    </w:p>
    <w:bookmarkEnd w:id="41"/>
    <w:p w14:paraId="1D62989C">
      <w:pPr>
        <w:ind w:firstLine="462" w:firstLineChars="150"/>
        <w:rPr>
          <w:rStyle w:val="20"/>
          <w:rFonts w:ascii="Times New Roman" w:hAnsi="Times New Roman" w:eastAsia="黑体" w:cs="宋体"/>
          <w:b/>
          <w:kern w:val="0"/>
          <w:sz w:val="32"/>
          <w:szCs w:val="32"/>
        </w:rPr>
      </w:pPr>
      <w:bookmarkStart w:id="44" w:name="_Toc17534"/>
    </w:p>
    <w:p w14:paraId="21F56C50">
      <w:pPr>
        <w:ind w:firstLine="462" w:firstLineChars="150"/>
        <w:rPr>
          <w:rStyle w:val="20"/>
          <w:rFonts w:ascii="Times New Roman" w:hAnsi="Times New Roman" w:eastAsia="黑体" w:cs="宋体"/>
          <w:b w:val="0"/>
          <w:bCs/>
          <w:kern w:val="0"/>
          <w:sz w:val="32"/>
          <w:szCs w:val="32"/>
        </w:rPr>
      </w:pPr>
      <w:r>
        <w:rPr>
          <w:rStyle w:val="20"/>
          <w:rFonts w:hint="eastAsia" w:ascii="Times New Roman" w:hAnsi="Times New Roman" w:eastAsia="黑体" w:cs="宋体"/>
          <w:b w:val="0"/>
          <w:bCs/>
          <w:kern w:val="0"/>
          <w:sz w:val="32"/>
          <w:szCs w:val="32"/>
        </w:rPr>
        <w:t>七、加快城乡协调发展  打造宜居宜业新城</w:t>
      </w:r>
      <w:bookmarkEnd w:id="44"/>
    </w:p>
    <w:p w14:paraId="44625A82">
      <w:pPr>
        <w:pStyle w:val="16"/>
        <w:overflowPunct w:val="0"/>
        <w:autoSpaceDE w:val="0"/>
        <w:autoSpaceDN w:val="0"/>
        <w:adjustRightInd w:val="0"/>
        <w:snapToGrid w:val="0"/>
        <w:spacing w:after="0" w:line="360" w:lineRule="auto"/>
        <w:ind w:firstLine="394"/>
        <w:rPr>
          <w:rFonts w:ascii="Times New Roman" w:hAnsi="Times New Roman" w:eastAsia="仿宋_GB2312" w:cs="宋体"/>
          <w:kern w:val="0"/>
          <w:szCs w:val="21"/>
        </w:rPr>
      </w:pPr>
    </w:p>
    <w:p w14:paraId="223A1B9D">
      <w:pPr>
        <w:pStyle w:val="16"/>
        <w:overflowPunct w:val="0"/>
        <w:autoSpaceDE w:val="0"/>
        <w:autoSpaceDN w:val="0"/>
        <w:adjustRightInd w:val="0"/>
        <w:snapToGrid w:val="0"/>
        <w:spacing w:after="0" w:line="360" w:lineRule="auto"/>
        <w:ind w:firstLine="614"/>
        <w:rPr>
          <w:rFonts w:ascii="Times New Roman" w:hAnsi="Times New Roman" w:eastAsia="仿宋_GB2312" w:cs="宋体"/>
          <w:kern w:val="0"/>
          <w:sz w:val="32"/>
          <w:szCs w:val="30"/>
        </w:rPr>
      </w:pPr>
      <w:r>
        <w:rPr>
          <w:rFonts w:hint="eastAsia" w:ascii="Times New Roman" w:hAnsi="Times New Roman" w:eastAsia="仿宋_GB2312" w:cs="宋体"/>
          <w:kern w:val="0"/>
          <w:sz w:val="32"/>
          <w:szCs w:val="30"/>
        </w:rPr>
        <w:t>按照桂林市域副中心城市、广西北大门、县级市的城市建设标准，</w:t>
      </w:r>
      <w:r>
        <w:rPr>
          <w:rFonts w:hint="eastAsia" w:ascii="Times New Roman" w:hAnsi="Times New Roman" w:eastAsia="仿宋_GB2312" w:cs="宋体"/>
          <w:sz w:val="32"/>
          <w:szCs w:val="30"/>
        </w:rPr>
        <w:t>按照“县城—中心镇—一般镇”的空间划分，遵循优先发展县城和中心镇的原则，逐步推进智慧县城和绿色县城建设，</w:t>
      </w:r>
      <w:r>
        <w:rPr>
          <w:rFonts w:hint="eastAsia" w:ascii="Times New Roman" w:hAnsi="Times New Roman" w:eastAsia="仿宋_GB2312" w:cs="宋体"/>
          <w:kern w:val="0"/>
          <w:sz w:val="32"/>
          <w:szCs w:val="30"/>
        </w:rPr>
        <w:t>在完成国家新型城镇化综合试点的基础上，继续巩固和扩大试点成果，进一步强化“一心三区”的主体城镇空间结构，</w:t>
      </w:r>
      <w:r>
        <w:rPr>
          <w:rFonts w:hint="eastAsia" w:ascii="Times New Roman" w:hAnsi="Times New Roman" w:eastAsia="仿宋_GB2312" w:cs="宋体"/>
          <w:sz w:val="32"/>
          <w:szCs w:val="30"/>
        </w:rPr>
        <w:t>加快城镇基础设施建设，完善城镇功能，强化城市管理，推进住房保障，扩大城镇规模，增强城镇对人口和生产要素的集聚能力</w:t>
      </w:r>
      <w:r>
        <w:rPr>
          <w:rFonts w:hint="eastAsia" w:ascii="Times New Roman" w:hAnsi="Times New Roman" w:eastAsia="仿宋_GB2312" w:cs="宋体"/>
          <w:sz w:val="32"/>
          <w:szCs w:val="30"/>
          <w:lang w:eastAsia="zh-CN"/>
        </w:rPr>
        <w:t>，</w:t>
      </w:r>
      <w:r>
        <w:rPr>
          <w:rFonts w:hint="eastAsia" w:ascii="Times New Roman" w:hAnsi="Times New Roman" w:eastAsia="仿宋_GB2312" w:cs="宋体"/>
          <w:sz w:val="32"/>
          <w:szCs w:val="30"/>
        </w:rPr>
        <w:t>增强城镇吸纳人口和产业承载能力，推动产、城、人融合发展，</w:t>
      </w:r>
      <w:r>
        <w:rPr>
          <w:rFonts w:hint="eastAsia" w:ascii="Times New Roman" w:hAnsi="Times New Roman" w:eastAsia="仿宋_GB2312" w:cs="宋体"/>
          <w:kern w:val="0"/>
          <w:sz w:val="32"/>
          <w:szCs w:val="30"/>
        </w:rPr>
        <w:t>打造宜居宜业新城市</w:t>
      </w:r>
      <w:bookmarkStart w:id="45" w:name="_Toc7197"/>
      <w:r>
        <w:rPr>
          <w:rFonts w:hint="eastAsia" w:ascii="Times New Roman" w:hAnsi="Times New Roman" w:eastAsia="仿宋_GB2312" w:cs="宋体"/>
          <w:kern w:val="0"/>
          <w:sz w:val="32"/>
          <w:szCs w:val="30"/>
        </w:rPr>
        <w:t>，为全县建设成为国家新兴中等城市打下坚实基础。</w:t>
      </w:r>
    </w:p>
    <w:p w14:paraId="0A147162">
      <w:pPr>
        <w:pStyle w:val="16"/>
        <w:overflowPunct w:val="0"/>
        <w:autoSpaceDE w:val="0"/>
        <w:autoSpaceDN w:val="0"/>
        <w:adjustRightInd w:val="0"/>
        <w:snapToGrid w:val="0"/>
        <w:spacing w:after="0" w:line="360" w:lineRule="auto"/>
        <w:ind w:firstLine="394"/>
        <w:rPr>
          <w:rFonts w:hint="eastAsia" w:ascii="Times New Roman" w:hAnsi="Times New Roman" w:eastAsia="楷体_GB2312" w:cs="楷体_GB2312"/>
          <w:b w:val="0"/>
          <w:bCs w:val="0"/>
          <w:kern w:val="0"/>
          <w:szCs w:val="21"/>
        </w:rPr>
      </w:pPr>
    </w:p>
    <w:p w14:paraId="08E00086">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val="0"/>
          <w:color w:val="000000"/>
          <w:sz w:val="32"/>
          <w:szCs w:val="32"/>
        </w:rPr>
      </w:pPr>
      <w:bookmarkStart w:id="46" w:name="_Toc22340"/>
      <w:r>
        <w:rPr>
          <w:rStyle w:val="20"/>
          <w:rFonts w:hint="eastAsia" w:ascii="Times New Roman" w:hAnsi="Times New Roman" w:eastAsia="楷体_GB2312" w:cs="楷体_GB2312"/>
          <w:b w:val="0"/>
          <w:bCs w:val="0"/>
          <w:kern w:val="0"/>
          <w:sz w:val="32"/>
          <w:szCs w:val="32"/>
        </w:rPr>
        <w:t xml:space="preserve">第一节  </w:t>
      </w:r>
      <w:r>
        <w:rPr>
          <w:rFonts w:hint="eastAsia" w:ascii="Times New Roman" w:hAnsi="Times New Roman" w:eastAsia="楷体_GB2312" w:cs="楷体_GB2312"/>
          <w:b w:val="0"/>
          <w:bCs w:val="0"/>
          <w:kern w:val="0"/>
          <w:sz w:val="32"/>
          <w:szCs w:val="32"/>
        </w:rPr>
        <w:t>加快建设中心城区</w:t>
      </w:r>
      <w:bookmarkEnd w:id="46"/>
    </w:p>
    <w:p w14:paraId="5757D437">
      <w:pPr>
        <w:overflowPunct w:val="0"/>
        <w:autoSpaceDE w:val="0"/>
        <w:autoSpaceDN w:val="0"/>
        <w:adjustRightInd w:val="0"/>
        <w:snapToGrid w:val="0"/>
        <w:spacing w:line="360" w:lineRule="auto"/>
        <w:ind w:firstLine="396" w:firstLineChars="200"/>
        <w:rPr>
          <w:rFonts w:ascii="Times New Roman" w:hAnsi="Times New Roman" w:eastAsia="仿宋_GB2312"/>
          <w:color w:val="000000"/>
          <w:szCs w:val="21"/>
        </w:rPr>
      </w:pPr>
    </w:p>
    <w:p w14:paraId="190592F6">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ascii="Times New Roman" w:hAnsi="Times New Roman" w:eastAsia="仿宋_GB2312"/>
          <w:color w:val="000000"/>
          <w:sz w:val="32"/>
          <w:szCs w:val="32"/>
        </w:rPr>
        <w:t>着力提升基础设施水平，提高县城承载能力，完善城市综合功能，推动城市环境的大改善和城市品质的大提升，努力将县城建设成为设施</w:t>
      </w:r>
      <w:r>
        <w:rPr>
          <w:rFonts w:ascii="Times New Roman" w:hAnsi="Times New Roman" w:eastAsia="仿宋_GB2312" w:cs="宋体"/>
          <w:kern w:val="0"/>
          <w:sz w:val="32"/>
          <w:szCs w:val="32"/>
        </w:rPr>
        <w:t>齐全、功能完善、经济活跃、环境优美的桂北生态宜居城市。</w:t>
      </w:r>
    </w:p>
    <w:p w14:paraId="78FE007F">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ascii="Times New Roman" w:hAnsi="Times New Roman" w:eastAsia="仿宋_GB2312" w:cs="宋体"/>
          <w:kern w:val="0"/>
          <w:sz w:val="32"/>
          <w:szCs w:val="32"/>
        </w:rPr>
        <w:t>构</w:t>
      </w:r>
      <w:r>
        <w:rPr>
          <w:rFonts w:hint="eastAsia" w:ascii="Times New Roman" w:hAnsi="Times New Roman" w:eastAsia="仿宋_GB2312" w:cs="宋体"/>
          <w:kern w:val="0"/>
          <w:sz w:val="32"/>
          <w:szCs w:val="32"/>
        </w:rPr>
        <w:t>建“</w:t>
      </w:r>
      <w:r>
        <w:rPr>
          <w:rFonts w:ascii="Times New Roman" w:hAnsi="Times New Roman" w:eastAsia="仿宋_GB2312" w:cs="宋体"/>
          <w:kern w:val="0"/>
          <w:sz w:val="32"/>
          <w:szCs w:val="32"/>
        </w:rPr>
        <w:t>五组团七片区</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城区</w:t>
      </w:r>
      <w:r>
        <w:rPr>
          <w:rFonts w:hint="eastAsia" w:ascii="Times New Roman" w:hAnsi="Times New Roman" w:eastAsia="仿宋_GB2312" w:cs="宋体"/>
          <w:kern w:val="0"/>
          <w:sz w:val="32"/>
          <w:szCs w:val="32"/>
        </w:rPr>
        <w:t>发展格局。以撤县设市作为未来城市建设标准，按照县城拓展“北延、东扩、西并、南伸”的</w:t>
      </w:r>
      <w:r>
        <w:rPr>
          <w:rFonts w:hint="eastAsia" w:ascii="Times New Roman" w:hAnsi="Times New Roman" w:eastAsia="仿宋_GB2312" w:cs="宋体"/>
          <w:sz w:val="32"/>
          <w:szCs w:val="30"/>
        </w:rPr>
        <w:t>发展思路，构建“五组团七片区”城区发展格局。</w:t>
      </w:r>
      <w:r>
        <w:rPr>
          <w:rFonts w:ascii="Times New Roman" w:hAnsi="Times New Roman" w:eastAsia="仿宋_GB2312"/>
          <w:color w:val="000000"/>
          <w:sz w:val="32"/>
          <w:szCs w:val="32"/>
        </w:rPr>
        <w:t>五组团</w:t>
      </w:r>
      <w:r>
        <w:rPr>
          <w:rFonts w:hint="eastAsia" w:ascii="Times New Roman" w:hAnsi="Times New Roman" w:eastAsia="仿宋_GB2312"/>
          <w:color w:val="000000"/>
          <w:sz w:val="32"/>
          <w:szCs w:val="32"/>
        </w:rPr>
        <w:t>，即</w:t>
      </w:r>
      <w:r>
        <w:rPr>
          <w:rFonts w:ascii="Times New Roman" w:hAnsi="Times New Roman" w:eastAsia="仿宋_GB2312"/>
          <w:color w:val="000000"/>
          <w:sz w:val="32"/>
          <w:szCs w:val="32"/>
        </w:rPr>
        <w:t>中心组团</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城西组团</w:t>
      </w:r>
      <w:r>
        <w:rPr>
          <w:rFonts w:hint="eastAsia" w:ascii="Times New Roman" w:hAnsi="Times New Roman" w:eastAsia="仿宋_GB2312"/>
          <w:color w:val="000000"/>
          <w:sz w:val="32"/>
          <w:szCs w:val="32"/>
        </w:rPr>
        <w:t>、动</w:t>
      </w:r>
      <w:r>
        <w:rPr>
          <w:rFonts w:ascii="Times New Roman" w:hAnsi="Times New Roman" w:eastAsia="仿宋_GB2312"/>
          <w:color w:val="000000"/>
          <w:sz w:val="32"/>
          <w:szCs w:val="32"/>
        </w:rPr>
        <w:t>车站组团</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城南组团</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江东组团</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中心组团包括老城区、城北新区和城北拓展区3个片区，重点发展商业、金融、文体医疗、旅游等服务业，完善行政、综合商住功能。城西组团</w:t>
      </w:r>
      <w:r>
        <w:rPr>
          <w:rFonts w:hint="eastAsia" w:ascii="Times New Roman" w:hAnsi="Times New Roman" w:eastAsia="仿宋_GB2312"/>
          <w:color w:val="000000"/>
          <w:sz w:val="32"/>
          <w:szCs w:val="32"/>
        </w:rPr>
        <w:t>主要是城西</w:t>
      </w:r>
      <w:r>
        <w:rPr>
          <w:rFonts w:ascii="Times New Roman" w:hAnsi="Times New Roman" w:eastAsia="仿宋_GB2312"/>
          <w:color w:val="000000"/>
          <w:sz w:val="32"/>
          <w:szCs w:val="32"/>
        </w:rPr>
        <w:t>工业集中区</w:t>
      </w:r>
      <w:r>
        <w:rPr>
          <w:rFonts w:hint="eastAsia" w:ascii="Times New Roman" w:hAnsi="Times New Roman" w:eastAsia="仿宋_GB2312"/>
          <w:color w:val="000000"/>
          <w:sz w:val="32"/>
          <w:szCs w:val="32"/>
        </w:rPr>
        <w:t>及沿国道至才湾脚山铺，</w:t>
      </w:r>
      <w:r>
        <w:rPr>
          <w:rFonts w:ascii="Times New Roman" w:hAnsi="Times New Roman" w:eastAsia="仿宋_GB2312"/>
          <w:color w:val="000000"/>
          <w:sz w:val="32"/>
          <w:szCs w:val="32"/>
        </w:rPr>
        <w:t>重点布局装备制造、</w:t>
      </w:r>
      <w:r>
        <w:rPr>
          <w:rFonts w:hint="eastAsia" w:ascii="Times New Roman" w:hAnsi="Times New Roman" w:eastAsia="仿宋_GB2312"/>
          <w:color w:val="000000"/>
          <w:sz w:val="32"/>
          <w:szCs w:val="32"/>
        </w:rPr>
        <w:t>绿色化工、</w:t>
      </w:r>
      <w:r>
        <w:rPr>
          <w:rFonts w:ascii="Times New Roman" w:hAnsi="Times New Roman" w:eastAsia="仿宋_GB2312"/>
          <w:color w:val="000000"/>
          <w:sz w:val="32"/>
          <w:szCs w:val="32"/>
        </w:rPr>
        <w:t>机械、电子、轻纺、食品、农产品加工</w:t>
      </w:r>
      <w:r>
        <w:rPr>
          <w:rFonts w:hint="eastAsia" w:ascii="Times New Roman" w:hAnsi="Times New Roman" w:eastAsia="仿宋_GB2312"/>
          <w:color w:val="000000"/>
          <w:sz w:val="32"/>
          <w:szCs w:val="32"/>
        </w:rPr>
        <w:t>和红色文旅</w:t>
      </w:r>
      <w:r>
        <w:rPr>
          <w:rFonts w:ascii="Times New Roman" w:hAnsi="Times New Roman" w:eastAsia="仿宋_GB2312"/>
          <w:color w:val="000000"/>
          <w:sz w:val="32"/>
          <w:szCs w:val="32"/>
        </w:rPr>
        <w:t>等产业</w:t>
      </w:r>
      <w:r>
        <w:rPr>
          <w:rFonts w:hint="eastAsia" w:ascii="Times New Roman" w:hAnsi="Times New Roman" w:eastAsia="仿宋_GB2312"/>
          <w:color w:val="000000"/>
          <w:sz w:val="32"/>
          <w:szCs w:val="32"/>
        </w:rPr>
        <w:t>。动</w:t>
      </w:r>
      <w:r>
        <w:rPr>
          <w:rFonts w:ascii="Times New Roman" w:hAnsi="Times New Roman" w:eastAsia="仿宋_GB2312"/>
          <w:color w:val="000000"/>
          <w:sz w:val="32"/>
          <w:szCs w:val="32"/>
        </w:rPr>
        <w:t>车站组团以全州南站和城西汽车客运站</w:t>
      </w:r>
      <w:r>
        <w:rPr>
          <w:rFonts w:hint="eastAsia" w:ascii="Times New Roman" w:hAnsi="Times New Roman" w:eastAsia="仿宋_GB2312"/>
          <w:color w:val="000000"/>
          <w:sz w:val="32"/>
          <w:szCs w:val="32"/>
        </w:rPr>
        <w:t>及桂北粮食仓储物流中心</w:t>
      </w:r>
      <w:r>
        <w:rPr>
          <w:rFonts w:ascii="Times New Roman" w:hAnsi="Times New Roman" w:eastAsia="仿宋_GB2312"/>
          <w:color w:val="000000"/>
          <w:sz w:val="32"/>
          <w:szCs w:val="32"/>
        </w:rPr>
        <w:t>为核心，重点发展仓储和商贸物流业，打造桂北湘南区域性物流基地</w:t>
      </w:r>
      <w:r>
        <w:rPr>
          <w:rFonts w:hint="eastAsia" w:ascii="Times New Roman" w:hAnsi="Times New Roman" w:eastAsia="仿宋_GB2312"/>
          <w:color w:val="000000"/>
          <w:sz w:val="32"/>
          <w:szCs w:val="32"/>
        </w:rPr>
        <w:t>，汽车、火车物流园。</w:t>
      </w:r>
      <w:r>
        <w:rPr>
          <w:rFonts w:ascii="Times New Roman" w:hAnsi="Times New Roman" w:eastAsia="仿宋_GB2312"/>
          <w:color w:val="000000"/>
          <w:sz w:val="32"/>
          <w:szCs w:val="32"/>
        </w:rPr>
        <w:t>城南组团</w:t>
      </w:r>
      <w:r>
        <w:rPr>
          <w:rFonts w:hint="eastAsia" w:ascii="Times New Roman" w:hAnsi="Times New Roman" w:eastAsia="仿宋_GB2312"/>
          <w:color w:val="000000"/>
          <w:sz w:val="32"/>
          <w:szCs w:val="32"/>
        </w:rPr>
        <w:t>，</w:t>
      </w:r>
      <w:r>
        <w:rPr>
          <w:rFonts w:hint="eastAsia" w:ascii="Times New Roman" w:hAnsi="Times New Roman" w:eastAsia="仿宋_GB2312" w:cs="宋体"/>
          <w:sz w:val="32"/>
          <w:szCs w:val="30"/>
        </w:rPr>
        <w:t>将501省道改道南移，将穿越城区部分改为市政道路，与城南工业园区至枧塘集镇合建城南产业新城，拉大城市框架，与城北新区形成南北呼应。</w:t>
      </w:r>
      <w:r>
        <w:rPr>
          <w:rFonts w:ascii="Times New Roman" w:hAnsi="Times New Roman" w:eastAsia="仿宋_GB2312"/>
          <w:color w:val="000000"/>
          <w:sz w:val="32"/>
          <w:szCs w:val="32"/>
        </w:rPr>
        <w:t>以城南工业园区为核心，重点发展机械、酿酒、医药、铁合金、</w:t>
      </w:r>
      <w:r>
        <w:rPr>
          <w:rFonts w:hint="eastAsia" w:ascii="Times New Roman" w:hAnsi="Times New Roman" w:eastAsia="仿宋_GB2312"/>
          <w:color w:val="000000"/>
          <w:sz w:val="32"/>
          <w:szCs w:val="32"/>
        </w:rPr>
        <w:t>农产品</w:t>
      </w:r>
      <w:r>
        <w:rPr>
          <w:rFonts w:ascii="Times New Roman" w:hAnsi="Times New Roman" w:eastAsia="仿宋_GB2312"/>
          <w:color w:val="000000"/>
          <w:sz w:val="32"/>
          <w:szCs w:val="32"/>
        </w:rPr>
        <w:t>加工</w:t>
      </w:r>
      <w:r>
        <w:rPr>
          <w:rFonts w:hint="eastAsia" w:ascii="Times New Roman" w:hAnsi="Times New Roman" w:eastAsia="仿宋_GB2312"/>
          <w:color w:val="000000"/>
          <w:sz w:val="32"/>
          <w:szCs w:val="32"/>
        </w:rPr>
        <w:t>、花卉园林</w:t>
      </w:r>
      <w:r>
        <w:rPr>
          <w:rFonts w:ascii="Times New Roman" w:hAnsi="Times New Roman" w:eastAsia="仿宋_GB2312"/>
          <w:color w:val="000000"/>
          <w:sz w:val="32"/>
          <w:szCs w:val="32"/>
        </w:rPr>
        <w:t>等产业。</w:t>
      </w:r>
      <w:r>
        <w:rPr>
          <w:rFonts w:hint="eastAsia" w:ascii="Times New Roman" w:hAnsi="Times New Roman" w:eastAsia="仿宋_GB2312"/>
          <w:color w:val="000000"/>
          <w:sz w:val="32"/>
          <w:szCs w:val="32"/>
        </w:rPr>
        <w:t>提升城南</w:t>
      </w:r>
      <w:r>
        <w:rPr>
          <w:rFonts w:ascii="Times New Roman" w:hAnsi="Times New Roman" w:eastAsia="仿宋_GB2312"/>
          <w:color w:val="000000"/>
          <w:sz w:val="32"/>
          <w:szCs w:val="32"/>
        </w:rPr>
        <w:t>工业</w:t>
      </w:r>
      <w:r>
        <w:rPr>
          <w:rFonts w:hint="eastAsia" w:ascii="Times New Roman" w:hAnsi="Times New Roman" w:eastAsia="仿宋_GB2312"/>
          <w:color w:val="000000"/>
          <w:sz w:val="32"/>
          <w:szCs w:val="32"/>
        </w:rPr>
        <w:t>集中</w:t>
      </w:r>
      <w:r>
        <w:rPr>
          <w:rFonts w:ascii="Times New Roman" w:hAnsi="Times New Roman" w:eastAsia="仿宋_GB2312"/>
          <w:color w:val="000000"/>
          <w:sz w:val="32"/>
          <w:szCs w:val="32"/>
        </w:rPr>
        <w:t>区</w:t>
      </w:r>
      <w:r>
        <w:rPr>
          <w:rFonts w:hint="eastAsia" w:ascii="Times New Roman" w:hAnsi="Times New Roman" w:eastAsia="仿宋_GB2312"/>
          <w:color w:val="000000"/>
          <w:sz w:val="32"/>
          <w:szCs w:val="32"/>
        </w:rPr>
        <w:t>建设，</w:t>
      </w:r>
      <w:r>
        <w:rPr>
          <w:rFonts w:ascii="Times New Roman" w:hAnsi="Times New Roman" w:eastAsia="仿宋_GB2312"/>
          <w:color w:val="000000"/>
          <w:sz w:val="32"/>
          <w:szCs w:val="32"/>
        </w:rPr>
        <w:t>重点</w:t>
      </w:r>
      <w:r>
        <w:rPr>
          <w:rFonts w:hint="eastAsia" w:ascii="Times New Roman" w:hAnsi="Times New Roman" w:eastAsia="仿宋_GB2312"/>
          <w:color w:val="000000"/>
          <w:sz w:val="32"/>
          <w:szCs w:val="32"/>
        </w:rPr>
        <w:t>实施</w:t>
      </w:r>
      <w:r>
        <w:rPr>
          <w:rFonts w:ascii="Times New Roman" w:hAnsi="Times New Roman" w:eastAsia="仿宋_GB2312"/>
          <w:color w:val="000000"/>
          <w:sz w:val="32"/>
          <w:szCs w:val="32"/>
        </w:rPr>
        <w:t>铁合金</w:t>
      </w:r>
      <w:r>
        <w:rPr>
          <w:rFonts w:hint="eastAsia" w:ascii="Times New Roman" w:hAnsi="Times New Roman" w:eastAsia="仿宋_GB2312"/>
          <w:color w:val="000000"/>
          <w:sz w:val="32"/>
          <w:szCs w:val="32"/>
        </w:rPr>
        <w:t>产业升级换代。</w:t>
      </w:r>
      <w:r>
        <w:rPr>
          <w:rFonts w:ascii="Times New Roman" w:hAnsi="Times New Roman" w:eastAsia="仿宋_GB2312"/>
          <w:color w:val="000000"/>
          <w:sz w:val="32"/>
          <w:szCs w:val="32"/>
        </w:rPr>
        <w:t>江东组团</w:t>
      </w:r>
      <w:r>
        <w:rPr>
          <w:rFonts w:hint="eastAsia" w:ascii="Times New Roman" w:hAnsi="Times New Roman" w:eastAsia="仿宋_GB2312"/>
          <w:color w:val="000000"/>
          <w:sz w:val="32"/>
          <w:szCs w:val="32"/>
        </w:rPr>
        <w:t>以产城融合为主导，建设现代文旅康养宜居新区</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共</w:t>
      </w:r>
      <w:r>
        <w:rPr>
          <w:rFonts w:ascii="Times New Roman" w:hAnsi="Times New Roman" w:eastAsia="仿宋_GB2312" w:cs="宋体"/>
          <w:kern w:val="0"/>
          <w:sz w:val="32"/>
          <w:szCs w:val="32"/>
        </w:rPr>
        <w:t>七片区包括老城区、城北新区、城北拓展区、</w:t>
      </w:r>
      <w:r>
        <w:rPr>
          <w:rFonts w:hint="eastAsia" w:ascii="Times New Roman" w:hAnsi="Times New Roman" w:eastAsia="仿宋_GB2312" w:cs="宋体"/>
          <w:kern w:val="0"/>
          <w:sz w:val="32"/>
          <w:szCs w:val="32"/>
        </w:rPr>
        <w:t>城西</w:t>
      </w:r>
      <w:r>
        <w:rPr>
          <w:rFonts w:ascii="Times New Roman" w:hAnsi="Times New Roman" w:eastAsia="仿宋_GB2312" w:cs="宋体"/>
          <w:kern w:val="0"/>
          <w:sz w:val="32"/>
          <w:szCs w:val="32"/>
        </w:rPr>
        <w:t>工业集中区、城南工业园区、雷公岭居住区和江湾居住区</w:t>
      </w:r>
      <w:r>
        <w:rPr>
          <w:rFonts w:hint="eastAsia" w:ascii="Times New Roman" w:hAnsi="Times New Roman" w:eastAsia="仿宋_GB2312" w:cs="宋体"/>
          <w:kern w:val="0"/>
          <w:sz w:val="32"/>
          <w:szCs w:val="32"/>
          <w:lang w:eastAsia="zh-CN"/>
        </w:rPr>
        <w:t>，</w:t>
      </w:r>
      <w:r>
        <w:rPr>
          <w:rFonts w:ascii="Times New Roman" w:hAnsi="Times New Roman" w:eastAsia="仿宋_GB2312"/>
          <w:color w:val="000000"/>
          <w:sz w:val="32"/>
          <w:szCs w:val="32"/>
        </w:rPr>
        <w:t>重点发展</w:t>
      </w:r>
      <w:r>
        <w:rPr>
          <w:rFonts w:hint="eastAsia" w:ascii="Times New Roman" w:hAnsi="Times New Roman" w:eastAsia="仿宋_GB2312"/>
          <w:color w:val="000000"/>
          <w:sz w:val="32"/>
          <w:szCs w:val="32"/>
        </w:rPr>
        <w:t>文化、教育、康养、</w:t>
      </w:r>
      <w:r>
        <w:rPr>
          <w:rFonts w:ascii="Times New Roman" w:hAnsi="Times New Roman" w:eastAsia="仿宋_GB2312"/>
          <w:color w:val="000000"/>
          <w:sz w:val="32"/>
          <w:szCs w:val="32"/>
        </w:rPr>
        <w:t>休闲旅游</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房地</w:t>
      </w:r>
      <w:r>
        <w:rPr>
          <w:rFonts w:ascii="Times New Roman" w:hAnsi="Times New Roman" w:eastAsia="仿宋_GB2312" w:cs="宋体"/>
          <w:kern w:val="0"/>
          <w:sz w:val="32"/>
          <w:szCs w:val="32"/>
        </w:rPr>
        <w:t>产</w:t>
      </w:r>
      <w:r>
        <w:rPr>
          <w:rFonts w:hint="eastAsia" w:ascii="Times New Roman" w:hAnsi="Times New Roman" w:eastAsia="仿宋_GB2312" w:cs="宋体"/>
          <w:kern w:val="0"/>
          <w:sz w:val="32"/>
          <w:szCs w:val="32"/>
        </w:rPr>
        <w:t>等业态</w:t>
      </w:r>
      <w:r>
        <w:rPr>
          <w:rFonts w:ascii="Times New Roman" w:hAnsi="Times New Roman" w:eastAsia="仿宋_GB2312" w:cs="宋体"/>
          <w:kern w:val="0"/>
          <w:sz w:val="32"/>
          <w:szCs w:val="32"/>
        </w:rPr>
        <w:t>，逐步打造成</w:t>
      </w:r>
      <w:r>
        <w:rPr>
          <w:rFonts w:hint="eastAsia" w:ascii="Times New Roman" w:hAnsi="Times New Roman" w:eastAsia="仿宋_GB2312" w:cs="宋体"/>
          <w:kern w:val="0"/>
          <w:sz w:val="32"/>
          <w:szCs w:val="32"/>
        </w:rPr>
        <w:t>文化教育、</w:t>
      </w:r>
      <w:r>
        <w:rPr>
          <w:rFonts w:ascii="Times New Roman" w:hAnsi="Times New Roman" w:eastAsia="仿宋_GB2312" w:cs="宋体"/>
          <w:kern w:val="0"/>
          <w:sz w:val="32"/>
          <w:szCs w:val="32"/>
        </w:rPr>
        <w:t>旅游休闲、生态宜居的</w:t>
      </w:r>
      <w:r>
        <w:rPr>
          <w:rFonts w:hint="eastAsia" w:ascii="Times New Roman" w:hAnsi="Times New Roman" w:eastAsia="仿宋_GB2312" w:cs="宋体"/>
          <w:kern w:val="0"/>
          <w:sz w:val="32"/>
          <w:szCs w:val="32"/>
        </w:rPr>
        <w:t>现代化新</w:t>
      </w:r>
      <w:r>
        <w:rPr>
          <w:rFonts w:ascii="Times New Roman" w:hAnsi="Times New Roman" w:eastAsia="仿宋_GB2312" w:cs="宋体"/>
          <w:kern w:val="0"/>
          <w:sz w:val="32"/>
          <w:szCs w:val="32"/>
        </w:rPr>
        <w:t>城区。（牵头单位：</w:t>
      </w:r>
      <w:r>
        <w:rPr>
          <w:rFonts w:hint="eastAsia" w:ascii="Times New Roman" w:hAnsi="Times New Roman" w:eastAsia="仿宋_GB2312" w:cs="宋体"/>
          <w:kern w:val="0"/>
          <w:sz w:val="32"/>
          <w:szCs w:val="32"/>
          <w:lang w:eastAsia="zh-CN"/>
        </w:rPr>
        <w:t>县自然资源局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县住房城乡建设局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县城市管理监督局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县城北新区管委会</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县工业园区管委会</w:t>
      </w:r>
      <w:r>
        <w:rPr>
          <w:rFonts w:hint="eastAsia" w:ascii="Times New Roman" w:hAnsi="Times New Roman" w:eastAsia="仿宋_GB2312" w:cs="宋体"/>
          <w:kern w:val="0"/>
          <w:sz w:val="32"/>
          <w:szCs w:val="32"/>
        </w:rPr>
        <w:t>、全州镇人民政府</w:t>
      </w:r>
      <w:r>
        <w:rPr>
          <w:rFonts w:ascii="Times New Roman" w:hAnsi="Times New Roman" w:eastAsia="仿宋_GB2312" w:cs="宋体"/>
          <w:kern w:val="0"/>
          <w:sz w:val="32"/>
          <w:szCs w:val="32"/>
        </w:rPr>
        <w:t>）</w:t>
      </w:r>
    </w:p>
    <w:p w14:paraId="35C4F324">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全面提升中心城市品质。</w:t>
      </w:r>
      <w:r>
        <w:rPr>
          <w:rFonts w:ascii="Times New Roman" w:hAnsi="Times New Roman" w:eastAsia="仿宋_GB2312" w:cs="宋体"/>
          <w:kern w:val="0"/>
          <w:sz w:val="32"/>
          <w:szCs w:val="32"/>
        </w:rPr>
        <w:t>以“一城带双园、一区汇多点”为蓝图高标准建设城市核心区，增强中心城区要素集聚和辐射带动能力。大力实施城市交通基础设施建设，重点推进重要交通节点改造，有序打通一批断头路，完善无障碍设施建设，提高城市交通承载能力。继续大力推进城北新区开发建设，稳步推进老城区提质改造，做好</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拥江发展，两岸齐飞</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文章</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稳步推进灌江大桥建设，积极推进江东雷公岭居住区及二环路的规划建设</w:t>
      </w:r>
      <w:r>
        <w:rPr>
          <w:rFonts w:hint="eastAsia" w:ascii="Times New Roman" w:hAnsi="Times New Roman" w:eastAsia="仿宋_GB2312" w:cs="宋体"/>
          <w:kern w:val="0"/>
          <w:sz w:val="32"/>
          <w:szCs w:val="32"/>
        </w:rPr>
        <w:t>。力争建设通用机场、骑行步行设施等交通基础设施</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5G基站、物联网基础设施、充电基础设施、大数据等信息网络基础设施，适应城市发展需要。</w:t>
      </w:r>
      <w:r>
        <w:rPr>
          <w:rFonts w:ascii="Times New Roman" w:hAnsi="Times New Roman" w:eastAsia="仿宋_GB2312" w:cs="宋体"/>
          <w:kern w:val="0"/>
          <w:sz w:val="32"/>
          <w:szCs w:val="32"/>
        </w:rPr>
        <w:t>持续推进污水、雨水、供水、燃气、综合管廊等地下管网基础设施建设。高水平推进新区建设，加快江东片区发展，完善生产生活配套设施，提升城市功能。高标准疏解提升老城，实施城市更新行动，合理保护开发历史文化街区、地方特色建筑，推进老城区生态修复、城市修补、老旧小区棚户区改造。</w:t>
      </w:r>
      <w:r>
        <w:rPr>
          <w:rFonts w:hint="eastAsia" w:ascii="Times New Roman" w:hAnsi="Times New Roman" w:eastAsia="仿宋_GB2312" w:cs="宋体"/>
          <w:kern w:val="0"/>
          <w:sz w:val="32"/>
          <w:szCs w:val="32"/>
        </w:rPr>
        <w:t>完善城镇周边垃圾处理配套设施建设。加大实施垃圾分类和综合利用力度，提升城镇环境承载能力。加快建设园林绿地基础设施，完善城市环卫设施、公厕、停车场等公益设施的建设。</w:t>
      </w:r>
      <w:r>
        <w:rPr>
          <w:rFonts w:ascii="Times New Roman" w:hAnsi="Times New Roman" w:eastAsia="仿宋_GB2312" w:cs="宋体"/>
          <w:kern w:val="0"/>
          <w:sz w:val="32"/>
          <w:szCs w:val="32"/>
        </w:rPr>
        <w:t>加强城市治理，完成智慧化城市管理平台建设，推动大城管模式数字化。坚持</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房子是用来住的，不是用来炒的</w:t>
      </w:r>
      <w:r>
        <w:rPr>
          <w:rFonts w:hint="eastAsia" w:ascii="Times New Roman" w:hAnsi="Times New Roman" w:eastAsia="仿宋_GB2312" w:cs="宋体"/>
          <w:kern w:val="0"/>
          <w:sz w:val="32"/>
          <w:szCs w:val="32"/>
        </w:rPr>
        <w:t>”</w:t>
      </w:r>
      <w:r>
        <w:rPr>
          <w:rFonts w:ascii="Times New Roman" w:hAnsi="Times New Roman" w:eastAsia="仿宋_GB2312" w:cs="宋体"/>
          <w:kern w:val="0"/>
          <w:sz w:val="32"/>
          <w:szCs w:val="32"/>
        </w:rPr>
        <w:t>定位，多措并举，促进房地产市场平稳健康发展。注重历史文化资源保护与开发，加强三江口、湘山寺、马王庙、龙岩洞旅游景点的保护开发工作，推进灌江、湘江、万乡河等沿江风光带建设，</w:t>
      </w:r>
      <w:r>
        <w:rPr>
          <w:rFonts w:hint="eastAsia" w:ascii="Times New Roman" w:hAnsi="Times New Roman" w:eastAsia="仿宋_GB2312" w:cs="宋体"/>
          <w:kern w:val="0"/>
          <w:sz w:val="32"/>
          <w:szCs w:val="32"/>
        </w:rPr>
        <w:t>规划建设全州古城文旅项目，</w:t>
      </w:r>
      <w:r>
        <w:rPr>
          <w:rFonts w:ascii="Times New Roman" w:hAnsi="Times New Roman" w:eastAsia="仿宋_GB2312" w:cs="宋体"/>
          <w:kern w:val="0"/>
          <w:sz w:val="32"/>
          <w:szCs w:val="32"/>
        </w:rPr>
        <w:t>努力将县城建设成为山水秀美、文化厚重的生态新城</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创建自治区文明城市。</w:t>
      </w:r>
      <w:bookmarkEnd w:id="45"/>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县城市管理监督局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县住房城乡建设局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县自然资源局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县文化广电体育和旅游局</w:t>
      </w:r>
      <w:r>
        <w:rPr>
          <w:rFonts w:hint="eastAsia" w:ascii="Times New Roman" w:hAnsi="Times New Roman" w:eastAsia="仿宋_GB2312" w:cs="宋体"/>
          <w:kern w:val="0"/>
          <w:sz w:val="32"/>
          <w:szCs w:val="32"/>
        </w:rPr>
        <w:t>、全州镇人民政府</w:t>
      </w:r>
      <w:r>
        <w:rPr>
          <w:rFonts w:ascii="Times New Roman" w:hAnsi="Times New Roman" w:eastAsia="仿宋_GB2312" w:cs="宋体"/>
          <w:kern w:val="0"/>
          <w:sz w:val="32"/>
          <w:szCs w:val="32"/>
        </w:rPr>
        <w:t>）</w:t>
      </w:r>
    </w:p>
    <w:p w14:paraId="1A91B42E">
      <w:pPr>
        <w:pStyle w:val="16"/>
        <w:overflowPunct w:val="0"/>
        <w:autoSpaceDE w:val="0"/>
        <w:autoSpaceDN w:val="0"/>
        <w:adjustRightInd w:val="0"/>
        <w:snapToGrid w:val="0"/>
        <w:spacing w:after="0" w:line="360" w:lineRule="auto"/>
        <w:ind w:firstLine="0" w:firstLineChars="0"/>
        <w:rPr>
          <w:rFonts w:ascii="Times New Roman" w:hAnsi="Times New Roman" w:eastAsia="仿宋_GB2312"/>
          <w:color w:val="000000"/>
          <w:szCs w:val="21"/>
        </w:rPr>
      </w:pPr>
    </w:p>
    <w:p w14:paraId="3046C5D8">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kern w:val="0"/>
          <w:sz w:val="32"/>
          <w:szCs w:val="32"/>
        </w:rPr>
      </w:pPr>
      <w:bookmarkStart w:id="47" w:name="_Toc21597"/>
      <w:r>
        <w:rPr>
          <w:rFonts w:hint="eastAsia" w:ascii="Times New Roman" w:hAnsi="Times New Roman" w:eastAsia="楷体_GB2312" w:cs="楷体_GB2312"/>
          <w:b w:val="0"/>
          <w:bCs/>
          <w:kern w:val="0"/>
          <w:sz w:val="32"/>
          <w:szCs w:val="32"/>
        </w:rPr>
        <w:t>第二节  统筹推进城乡协调发展</w:t>
      </w:r>
      <w:bookmarkEnd w:id="47"/>
    </w:p>
    <w:p w14:paraId="17F5A61D">
      <w:pPr>
        <w:pStyle w:val="16"/>
        <w:overflowPunct w:val="0"/>
        <w:autoSpaceDE w:val="0"/>
        <w:autoSpaceDN w:val="0"/>
        <w:adjustRightInd w:val="0"/>
        <w:snapToGrid w:val="0"/>
        <w:spacing w:after="0" w:line="360" w:lineRule="auto"/>
        <w:ind w:firstLine="0" w:firstLineChars="0"/>
        <w:rPr>
          <w:rFonts w:ascii="Times New Roman" w:hAnsi="Times New Roman" w:eastAsia="仿宋_GB2312"/>
          <w:color w:val="000000"/>
          <w:szCs w:val="21"/>
        </w:rPr>
      </w:pPr>
    </w:p>
    <w:p w14:paraId="2F204F63">
      <w:pPr>
        <w:overflowPunct w:val="0"/>
        <w:autoSpaceDE w:val="0"/>
        <w:autoSpaceDN w:val="0"/>
        <w:adjustRightInd w:val="0"/>
        <w:snapToGrid w:val="0"/>
        <w:spacing w:line="360" w:lineRule="auto"/>
        <w:ind w:firstLine="616" w:firstLineChars="200"/>
        <w:rPr>
          <w:rFonts w:hint="eastAsia" w:ascii="Times New Roman" w:hAnsi="Times New Roman" w:eastAsia="楷体_GB2312" w:cs="楷体_GB2312"/>
          <w:b w:val="0"/>
          <w:bCs/>
          <w:kern w:val="0"/>
          <w:sz w:val="32"/>
          <w:szCs w:val="32"/>
        </w:rPr>
      </w:pPr>
      <w:r>
        <w:rPr>
          <w:rFonts w:hint="eastAsia" w:ascii="Times New Roman" w:hAnsi="Times New Roman" w:eastAsia="仿宋_GB2312" w:cs="宋体"/>
          <w:kern w:val="0"/>
          <w:sz w:val="32"/>
          <w:szCs w:val="30"/>
        </w:rPr>
        <w:t>深入推进城北新区建设，实施县域综合服务能力提升工程，加快补齐县域城镇化短板弱项，发挥示范乡镇联城带乡纽带作用，提升城镇承载能力，推动产业向城镇集中、人口向城镇集聚。健全区域协调发展体制机制，加快构建“一县一产”、“一乡一业”、“一村一品”的县域特色产业发展格局。深化户籍制度改革，配套落实教育、医疗、社保、就业等公共服务政</w:t>
      </w:r>
      <w:r>
        <w:rPr>
          <w:rFonts w:hint="eastAsia" w:ascii="Times New Roman" w:hAnsi="Times New Roman" w:eastAsia="仿宋_GB2312" w:cs="宋体"/>
          <w:kern w:val="0"/>
          <w:sz w:val="32"/>
          <w:szCs w:val="32"/>
        </w:rPr>
        <w:t>策，加快农业转移人口市民化，提高城镇化率，到2025年，力争实现城镇化率达45%。实施“多规合一”，统筹县域城镇和村庄规划建设，推动重要市政公用设施向郊区乡村和规模较大中心镇覆盖延伸，把乡镇建成服务农民的区域中心。</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县住房城乡建设局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县城北新区管委会</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县城市管理监督局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县住房城乡建设局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县自然资源局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县公安局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县教育局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县卫生健康局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4A623651">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kern w:val="0"/>
          <w:sz w:val="32"/>
          <w:szCs w:val="32"/>
        </w:rPr>
      </w:pPr>
      <w:bookmarkStart w:id="48" w:name="_Toc390"/>
      <w:r>
        <w:rPr>
          <w:rFonts w:hint="eastAsia" w:ascii="Times New Roman" w:hAnsi="Times New Roman" w:eastAsia="楷体_GB2312" w:cs="楷体_GB2312"/>
          <w:b w:val="0"/>
          <w:bCs/>
          <w:kern w:val="0"/>
          <w:sz w:val="32"/>
          <w:szCs w:val="32"/>
        </w:rPr>
        <w:t>第三节  完善城镇治理体系</w:t>
      </w:r>
      <w:bookmarkEnd w:id="48"/>
    </w:p>
    <w:p w14:paraId="5F02398E">
      <w:pPr>
        <w:overflowPunct w:val="0"/>
        <w:autoSpaceDE w:val="0"/>
        <w:autoSpaceDN w:val="0"/>
        <w:adjustRightInd w:val="0"/>
        <w:snapToGrid w:val="0"/>
        <w:spacing w:line="360" w:lineRule="auto"/>
        <w:ind w:firstLine="396" w:firstLineChars="200"/>
        <w:rPr>
          <w:rFonts w:ascii="Times New Roman" w:hAnsi="Times New Roman" w:eastAsia="仿宋_GB2312" w:cs="仿宋_GB2312"/>
          <w:b/>
          <w:kern w:val="0"/>
          <w:szCs w:val="21"/>
        </w:rPr>
      </w:pPr>
    </w:p>
    <w:p w14:paraId="21CEACEB">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提升城市管理水平。创新城镇治</w:t>
      </w:r>
      <w:r>
        <w:rPr>
          <w:rFonts w:hint="eastAsia" w:ascii="Times New Roman" w:hAnsi="Times New Roman" w:eastAsia="仿宋_GB2312" w:cs="宋体"/>
          <w:kern w:val="0"/>
          <w:sz w:val="32"/>
          <w:szCs w:val="30"/>
        </w:rPr>
        <w:t>理方式。建立和完善城镇安全运行管理机制，完善城市数字化管理平台和感知系统，打通社区末端、织密数据网格，整合共享公共数据资源和信息系统</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推进智慧交通、智慧水务、智慧能源、智慧政务等发展，深化政务服务“一网通办”、城市运行“一网统管”，支撑城镇健康高效运行和突发事件快速智能响应。深化城镇管理体制改革。建立健全党委政府统筹协调、各部门协同合作、指挥顺畅、运行高效的城市管理体系。坚持依法治理，加强城市管理执法队伍建设，推进严格规范公正文明执法。加强和创新社区治理</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kern w:val="0"/>
          <w:sz w:val="32"/>
          <w:szCs w:val="30"/>
        </w:rPr>
        <w:t>引导社会组织、社会工作者和志愿者等参与，大幅提高城镇社区综合服务设施覆盖率。加强城镇应急和防灾减灾体系建设，提高公共卫生预警救治能力和抵御冲击、应急保障、灾后恢</w:t>
      </w:r>
      <w:r>
        <w:rPr>
          <w:rFonts w:hint="eastAsia" w:ascii="Times New Roman" w:hAnsi="Times New Roman" w:eastAsia="仿宋_GB2312" w:cs="宋体"/>
          <w:kern w:val="0"/>
          <w:sz w:val="32"/>
          <w:szCs w:val="32"/>
        </w:rPr>
        <w:t>复的能力。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县城市管理监督局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县住房城乡建设局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4E2707C1">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完善城镇治理体系。建立和完善城镇管理制度，加速完善城市治理体系，充分利用现代科学技术和现代城市管理理念</w:t>
      </w:r>
      <w:r>
        <w:rPr>
          <w:rFonts w:hint="eastAsia" w:ascii="Times New Roman" w:hAnsi="Times New Roman" w:eastAsia="仿宋_GB2312" w:cs="宋体"/>
          <w:kern w:val="0"/>
          <w:sz w:val="32"/>
          <w:szCs w:val="30"/>
        </w:rPr>
        <w:t>，全面提升城市管理水平。按照“多规合一”要求，强化对城镇建设规划、设计、施工的依法监管，严控城镇建设流程，保障城镇建设提质增效。持续优化城镇综合管理，强化标准导向和精细化理念，运用大数据、云平台，推进数字城管、智慧路灯、智慧政务建设，提升城市管理精细化、智能化水平。科学制订绿化精细养护计划，实施动态长效管理机制。加强县城防洪排涝治理。提倡垃圾分类，减量化及资源化，进一步建立健全城镇及农村生活垃圾收集、转运和无害化处置体系，确保城镇生活垃圾无害化处理率达100%，推动农村环境卫生改善。加强市政基础设施管理和维护，提高设施完好率和公益服务水平。加大城乡环境综合整治力度，加强城区环境卫生整治、“五乱”整治、非法营运车辆清理整</w:t>
      </w:r>
      <w:r>
        <w:rPr>
          <w:rFonts w:hint="eastAsia" w:ascii="Times New Roman" w:hAnsi="Times New Roman" w:eastAsia="仿宋_GB2312" w:cs="宋体"/>
          <w:kern w:val="0"/>
          <w:sz w:val="32"/>
          <w:szCs w:val="32"/>
        </w:rPr>
        <w:t>治，加强完善停车收费、无物业管理小区、农贸市场的规范化管理。</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县城市管理监督局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县住房城乡建设局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w:t>
      </w:r>
      <w:r>
        <w:rPr>
          <w:rFonts w:hint="eastAsia" w:ascii="Times New Roman" w:hAnsi="Times New Roman" w:eastAsia="仿宋_GB2312" w:cs="宋体"/>
          <w:kern w:val="0"/>
          <w:sz w:val="32"/>
          <w:szCs w:val="32"/>
        </w:rPr>
        <w:t>市场</w:t>
      </w:r>
      <w:r>
        <w:rPr>
          <w:rFonts w:hint="eastAsia" w:ascii="Times New Roman" w:hAnsi="Times New Roman" w:eastAsia="仿宋_GB2312" w:cs="宋体"/>
          <w:kern w:val="0"/>
          <w:sz w:val="32"/>
          <w:szCs w:val="32"/>
          <w:lang w:eastAsia="zh-CN"/>
        </w:rPr>
        <w:t>服务管理</w:t>
      </w:r>
      <w:r>
        <w:rPr>
          <w:rFonts w:hint="eastAsia" w:ascii="Times New Roman" w:hAnsi="Times New Roman" w:eastAsia="仿宋_GB2312" w:cs="宋体"/>
          <w:kern w:val="0"/>
          <w:sz w:val="32"/>
          <w:szCs w:val="32"/>
        </w:rPr>
        <w:t>中心、</w:t>
      </w:r>
      <w:r>
        <w:rPr>
          <w:rFonts w:hint="eastAsia" w:ascii="Times New Roman" w:hAnsi="Times New Roman" w:eastAsia="仿宋_GB2312" w:cs="宋体"/>
          <w:kern w:val="0"/>
          <w:sz w:val="32"/>
          <w:szCs w:val="32"/>
          <w:lang w:eastAsia="zh-CN"/>
        </w:rPr>
        <w:t>各乡（镇）人民政府〕</w:t>
      </w:r>
    </w:p>
    <w:p w14:paraId="1D64D0D8">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提升乡村治理能力。</w:t>
      </w:r>
      <w:r>
        <w:rPr>
          <w:rFonts w:hint="eastAsia" w:ascii="Times New Roman" w:hAnsi="Times New Roman" w:eastAsia="仿宋_GB2312" w:cs="宋体"/>
          <w:kern w:val="0"/>
          <w:sz w:val="32"/>
          <w:szCs w:val="30"/>
        </w:rPr>
        <w:t>强化农村党支部组织建设和农村干部队伍建设，严厉整顿软弱涣散农村党组织，逐步完成村“两委”干部“一肩挑”改革。以党建带动各类乡村组织发展。鼓励集体经济组织和农村合作经济组织积极参与乡村社会治理。建立村务联席会议制度，完善村务治理体系，形成以乡村党组织为核心，多种组织共同参与的基本乡村治理格局。积极运用大数据、互联网等现代信息技术，全面提升乡村治理现代化水平。</w:t>
      </w:r>
      <w:r>
        <w:rPr>
          <w:rFonts w:hint="eastAsia" w:ascii="Times New Roman" w:hAnsi="Times New Roman" w:eastAsia="仿宋_GB2312" w:cs="宋体"/>
          <w:kern w:val="0"/>
          <w:sz w:val="32"/>
          <w:szCs w:val="32"/>
        </w:rPr>
        <w:t>强化干部群众学法用法积极性，增强干部法治观念和依法办事能力。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rPr>
        <w:t>县委组织部</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0BE58B91">
      <w:pPr>
        <w:ind w:firstLine="616" w:firstLineChars="200"/>
        <w:rPr>
          <w:rStyle w:val="20"/>
          <w:rFonts w:ascii="Times New Roman" w:hAnsi="Times New Roman" w:eastAsia="黑体" w:cs="宋体"/>
          <w:b w:val="0"/>
          <w:bCs w:val="0"/>
          <w:kern w:val="0"/>
          <w:sz w:val="32"/>
          <w:szCs w:val="32"/>
        </w:rPr>
      </w:pPr>
      <w:bookmarkStart w:id="49" w:name="_Toc32414"/>
      <w:bookmarkStart w:id="50" w:name="_Toc18546"/>
      <w:r>
        <w:rPr>
          <w:rStyle w:val="20"/>
          <w:rFonts w:hint="eastAsia" w:ascii="Times New Roman" w:hAnsi="Times New Roman" w:eastAsia="黑体" w:cs="宋体"/>
          <w:b w:val="0"/>
          <w:bCs w:val="0"/>
          <w:kern w:val="0"/>
          <w:sz w:val="32"/>
          <w:szCs w:val="32"/>
        </w:rPr>
        <w:t xml:space="preserve">八、 强化文化自信传承  </w:t>
      </w:r>
      <w:r>
        <w:rPr>
          <w:rFonts w:hint="eastAsia" w:ascii="Times New Roman" w:hAnsi="Times New Roman" w:eastAsia="黑体" w:cs="宋体"/>
          <w:b w:val="0"/>
          <w:bCs w:val="0"/>
          <w:kern w:val="0"/>
          <w:sz w:val="32"/>
          <w:szCs w:val="32"/>
        </w:rPr>
        <w:t>开创文化建设新局</w:t>
      </w:r>
      <w:bookmarkEnd w:id="49"/>
      <w:bookmarkEnd w:id="50"/>
    </w:p>
    <w:p w14:paraId="659FD67B">
      <w:pPr>
        <w:overflowPunct w:val="0"/>
        <w:autoSpaceDE w:val="0"/>
        <w:autoSpaceDN w:val="0"/>
        <w:adjustRightInd w:val="0"/>
        <w:snapToGrid w:val="0"/>
        <w:spacing w:line="360" w:lineRule="auto"/>
        <w:ind w:firstLine="396" w:firstLineChars="200"/>
        <w:rPr>
          <w:rStyle w:val="20"/>
          <w:rFonts w:ascii="Times New Roman" w:hAnsi="Times New Roman" w:eastAsia="黑体" w:cs="宋体"/>
          <w:kern w:val="0"/>
          <w:szCs w:val="21"/>
        </w:rPr>
      </w:pPr>
    </w:p>
    <w:p w14:paraId="60BCB934">
      <w:pPr>
        <w:overflowPunct w:val="0"/>
        <w:autoSpaceDE w:val="0"/>
        <w:autoSpaceDN w:val="0"/>
        <w:adjustRightInd w:val="0"/>
        <w:snapToGrid w:val="0"/>
        <w:spacing w:line="360" w:lineRule="auto"/>
        <w:ind w:firstLine="616"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坚持马克思主义在意识形态领域的指导地位，坚定文化自信，落实党委</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党组</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意识形态工作责任制，坚持以社会主义核心价值观引领文化建设，加强社会主义精神文明建设，打造具有全州特色的文化名片，提升公共文化服务水平，努力开创文化建设新局面。</w:t>
      </w:r>
    </w:p>
    <w:p w14:paraId="48AA402A">
      <w:pPr>
        <w:pStyle w:val="27"/>
        <w:overflowPunct w:val="0"/>
        <w:snapToGrid w:val="0"/>
        <w:spacing w:line="360" w:lineRule="auto"/>
        <w:jc w:val="both"/>
        <w:rPr>
          <w:rFonts w:ascii="Times New Roman" w:hAnsi="Times New Roman"/>
          <w:sz w:val="21"/>
          <w:szCs w:val="21"/>
        </w:rPr>
      </w:pPr>
    </w:p>
    <w:p w14:paraId="7014D60E">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51" w:name="_Toc9449"/>
      <w:bookmarkStart w:id="52" w:name="_Toc25544"/>
      <w:r>
        <w:rPr>
          <w:rStyle w:val="20"/>
          <w:rFonts w:hint="eastAsia" w:ascii="Times New Roman" w:hAnsi="Times New Roman" w:eastAsia="楷体_GB2312" w:cs="楷体_GB2312"/>
          <w:b w:val="0"/>
          <w:bCs w:val="0"/>
          <w:kern w:val="0"/>
          <w:sz w:val="32"/>
          <w:szCs w:val="32"/>
        </w:rPr>
        <w:t xml:space="preserve">第一节  </w:t>
      </w:r>
      <w:bookmarkEnd w:id="51"/>
      <w:r>
        <w:rPr>
          <w:rFonts w:hint="eastAsia" w:ascii="Times New Roman" w:hAnsi="Times New Roman" w:eastAsia="楷体_GB2312" w:cs="楷体_GB2312"/>
          <w:b w:val="0"/>
          <w:bCs w:val="0"/>
          <w:kern w:val="0"/>
          <w:sz w:val="32"/>
          <w:szCs w:val="32"/>
        </w:rPr>
        <w:t>全面提升社会文明程度</w:t>
      </w:r>
      <w:bookmarkEnd w:id="52"/>
    </w:p>
    <w:p w14:paraId="1487675C">
      <w:pPr>
        <w:overflowPunct w:val="0"/>
        <w:autoSpaceDE w:val="0"/>
        <w:autoSpaceDN w:val="0"/>
        <w:adjustRightInd w:val="0"/>
        <w:snapToGrid w:val="0"/>
        <w:spacing w:line="360" w:lineRule="auto"/>
        <w:rPr>
          <w:rFonts w:ascii="Times New Roman" w:hAnsi="Times New Roman" w:eastAsia="仿宋_GB2312" w:cs="仿宋_GB2312"/>
          <w:b/>
          <w:bCs/>
          <w:szCs w:val="21"/>
        </w:rPr>
      </w:pPr>
    </w:p>
    <w:p w14:paraId="1E35DFE6">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sz w:val="32"/>
          <w:szCs w:val="32"/>
        </w:rPr>
        <w:t>深入开展习近平新时代中国特色社会主义思想学习教育，加强党史、新中国史、改革开放史、社会主义发展史教育，推动理想信念教育常态化制度化。加强爱国主义、集体主义、社会主义、民族团结进步教育，大力弘扬以红军长征湘江战役为代表的长征精神，</w:t>
      </w:r>
      <w:r>
        <w:rPr>
          <w:rFonts w:hint="eastAsia" w:ascii="Times New Roman" w:hAnsi="Times New Roman" w:eastAsia="仿宋_GB2312" w:cs="仿宋_GB2312"/>
          <w:color w:val="000000" w:themeColor="text1"/>
          <w:sz w:val="32"/>
          <w:szCs w:val="32"/>
        </w:rPr>
        <w:t>缅怀革命先烈，赓续共产党人精神血脉，坚定理想信念，砥砺革命意志，</w:t>
      </w:r>
      <w:r>
        <w:rPr>
          <w:rFonts w:hint="eastAsia" w:ascii="Times New Roman" w:hAnsi="Times New Roman" w:eastAsia="仿宋_GB2312" w:cs="仿宋_GB2312"/>
          <w:sz w:val="32"/>
          <w:szCs w:val="32"/>
        </w:rPr>
        <w:t>提升爱国主义教育基地建设水平。严格落实意识形态工作责任制，巩固壮大主流舆论，坚持正确舆论导向，提高新媒体传播力，讲好全州故事、彰显全州形象。引导干部群众坚定“四个自信”，加强社会主义精神文明建设，推进文明城市创建，深入开展群众性精神文明活动，持续深化新时代文明实践中心</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所、站</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建设。推动志愿服务活动常态化。加强公民道德建设、职业道德、家庭美德、个人品德教育，加强家庭、家教、家风建设，大力倡导“爱国爱家爱全州，讲德讲孝讲文明”。不断提升人民文明素养和社会文明程度，深入开展文明县城、文明村镇、文明单位、文明家庭等精神文明创建活动。弘扬诚信文化，推进诚信建设。提倡艰苦奋斗，勤俭节约，大力弘扬劳</w:t>
      </w:r>
      <w:r>
        <w:rPr>
          <w:rFonts w:hint="eastAsia" w:ascii="Times New Roman" w:hAnsi="Times New Roman" w:eastAsia="仿宋_GB2312" w:cs="宋体"/>
          <w:kern w:val="0"/>
          <w:sz w:val="32"/>
          <w:szCs w:val="32"/>
        </w:rPr>
        <w:t>模精神、劳动精神、工匠精神。加强网络文明建设，发展积极健康的网络文化。</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县文化广电体育和旅游局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0F98FB9F">
      <w:pPr>
        <w:pStyle w:val="27"/>
        <w:overflowPunct w:val="0"/>
        <w:snapToGrid w:val="0"/>
        <w:spacing w:line="360" w:lineRule="auto"/>
        <w:jc w:val="both"/>
        <w:rPr>
          <w:rFonts w:ascii="Times New Roman" w:hAnsi="Times New Roman"/>
          <w:sz w:val="21"/>
          <w:szCs w:val="21"/>
        </w:rPr>
      </w:pPr>
    </w:p>
    <w:p w14:paraId="7AACB325">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53" w:name="_Toc10254"/>
      <w:bookmarkStart w:id="54" w:name="_Toc8293"/>
      <w:r>
        <w:rPr>
          <w:rStyle w:val="20"/>
          <w:rFonts w:hint="eastAsia" w:ascii="Times New Roman" w:hAnsi="Times New Roman" w:eastAsia="楷体_GB2312" w:cs="楷体_GB2312"/>
          <w:b w:val="0"/>
          <w:bCs w:val="0"/>
          <w:kern w:val="0"/>
          <w:sz w:val="32"/>
          <w:szCs w:val="32"/>
        </w:rPr>
        <w:t>第二节  提升</w:t>
      </w:r>
      <w:r>
        <w:rPr>
          <w:rFonts w:hint="eastAsia" w:ascii="Times New Roman" w:hAnsi="Times New Roman" w:eastAsia="楷体_GB2312" w:cs="楷体_GB2312"/>
          <w:b w:val="0"/>
          <w:bCs w:val="0"/>
          <w:kern w:val="0"/>
          <w:sz w:val="32"/>
          <w:szCs w:val="32"/>
        </w:rPr>
        <w:t>公共文化服务</w:t>
      </w:r>
      <w:bookmarkEnd w:id="53"/>
      <w:r>
        <w:rPr>
          <w:rFonts w:hint="eastAsia" w:ascii="Times New Roman" w:hAnsi="Times New Roman" w:eastAsia="楷体_GB2312" w:cs="楷体_GB2312"/>
          <w:b w:val="0"/>
          <w:bCs w:val="0"/>
          <w:kern w:val="0"/>
          <w:sz w:val="32"/>
          <w:szCs w:val="32"/>
        </w:rPr>
        <w:t>水平</w:t>
      </w:r>
      <w:bookmarkEnd w:id="54"/>
    </w:p>
    <w:p w14:paraId="4BEC227D">
      <w:pPr>
        <w:overflowPunct w:val="0"/>
        <w:autoSpaceDE w:val="0"/>
        <w:autoSpaceDN w:val="0"/>
        <w:adjustRightInd w:val="0"/>
        <w:snapToGrid w:val="0"/>
        <w:spacing w:line="360" w:lineRule="auto"/>
        <w:ind w:firstLine="396" w:firstLineChars="200"/>
        <w:rPr>
          <w:rFonts w:ascii="Times New Roman" w:hAnsi="Times New Roman" w:eastAsia="仿宋_GB2312" w:cs="仿宋_GB2312"/>
          <w:b/>
          <w:bCs/>
          <w:szCs w:val="21"/>
        </w:rPr>
      </w:pPr>
    </w:p>
    <w:p w14:paraId="5B5763E2">
      <w:pPr>
        <w:pStyle w:val="41"/>
        <w:overflowPunct w:val="0"/>
        <w:autoSpaceDE w:val="0"/>
        <w:autoSpaceDN w:val="0"/>
        <w:adjustRightInd w:val="0"/>
        <w:snapToGrid w:val="0"/>
        <w:spacing w:line="360" w:lineRule="auto"/>
        <w:ind w:firstLine="614"/>
        <w:rPr>
          <w:rFonts w:hint="eastAsia" w:ascii="Times New Roman" w:hAnsi="Times New Roman" w:cs="宋体"/>
          <w:kern w:val="0"/>
          <w:sz w:val="32"/>
          <w:szCs w:val="32"/>
          <w:lang w:val="en-US" w:eastAsia="zh-CN" w:bidi="ar-SA"/>
        </w:rPr>
      </w:pPr>
      <w:r>
        <w:rPr>
          <w:rFonts w:hint="eastAsia" w:ascii="Times New Roman" w:hAnsi="Times New Roman" w:cs="仿宋_GB2312"/>
          <w:sz w:val="32"/>
          <w:szCs w:val="32"/>
        </w:rPr>
        <w:t>完善覆盖城乡的公共文化服务体系。</w:t>
      </w:r>
      <w:r>
        <w:rPr>
          <w:rFonts w:hint="eastAsia" w:ascii="Times New Roman" w:hAnsi="Times New Roman"/>
          <w:sz w:val="32"/>
          <w:szCs w:val="30"/>
        </w:rPr>
        <w:t>实施全县公共文化基础设施提升工程，实现智慧广电网络全覆盖。打造智慧乡村“一村一屏两中心”平台，实现县乡舆论宣传工作和政府基层信息化公共服务相结合，搭建起政府、基层村干部和群众桥梁，通过政府公共体系建设实现老百姓从“看电视”到“用电视”的务实举措，更好地满足群众的信息需求。</w:t>
      </w:r>
      <w:r>
        <w:rPr>
          <w:rFonts w:ascii="Times New Roman" w:hAnsi="Times New Roman" w:cs="Times New Roman"/>
          <w:kern w:val="0"/>
          <w:sz w:val="32"/>
          <w:szCs w:val="32"/>
        </w:rPr>
        <w:t>实施文化艺木精品创作工程，推动文化演艺、文学艺术、网络视听等文化事业全面繁荣，打响全州文化品牌。做大做强新型主流媒体，实施全媒体业传播工程，推进县级媒体融合发展，建强用好县级融媒体中心。</w:t>
      </w:r>
      <w:r>
        <w:rPr>
          <w:rFonts w:hint="eastAsia" w:ascii="Times New Roman" w:hAnsi="Times New Roman"/>
          <w:sz w:val="32"/>
          <w:szCs w:val="30"/>
        </w:rPr>
        <w:t>对县体育馆场进行改造升级，新建青少年体校及一批体育公园、社会足球场、健身路径等体育惠民设施。</w:t>
      </w:r>
      <w:r>
        <w:rPr>
          <w:rFonts w:ascii="Times New Roman" w:hAnsi="Times New Roman" w:cs="Times New Roman"/>
          <w:kern w:val="0"/>
          <w:sz w:val="32"/>
          <w:szCs w:val="32"/>
        </w:rPr>
        <w:t>加强重大文化设施和文化项目建设</w:t>
      </w:r>
      <w:r>
        <w:rPr>
          <w:rFonts w:hint="eastAsia" w:ascii="Times New Roman" w:hAnsi="Times New Roman" w:cs="Times New Roman"/>
          <w:kern w:val="0"/>
          <w:sz w:val="32"/>
          <w:szCs w:val="32"/>
        </w:rPr>
        <w:t>，</w:t>
      </w:r>
      <w:r>
        <w:rPr>
          <w:rFonts w:ascii="Times New Roman" w:hAnsi="Times New Roman" w:cs="Times New Roman"/>
          <w:kern w:val="0"/>
          <w:sz w:val="32"/>
          <w:szCs w:val="32"/>
        </w:rPr>
        <w:t>完善县乡村三级公共文化设施网络，推进行政村公共文化服务中心全覆盖。深入实施文化惠民工程，充分发挥图书馆、博物馆、文化馆</w:t>
      </w:r>
      <w:r>
        <w:rPr>
          <w:rFonts w:hint="eastAsia" w:ascii="Times New Roman" w:hAnsi="Times New Roman"/>
          <w:sz w:val="32"/>
          <w:szCs w:val="30"/>
        </w:rPr>
        <w:t>、非遗传承基地、乡镇文化站</w:t>
      </w:r>
      <w:r>
        <w:rPr>
          <w:rFonts w:ascii="Times New Roman" w:hAnsi="Times New Roman" w:cs="Times New Roman"/>
          <w:kern w:val="0"/>
          <w:sz w:val="32"/>
          <w:szCs w:val="32"/>
        </w:rPr>
        <w:t>等作用，推进智慧书屋数字文化驿站等建设，丰富群众性文化活动。加大向社会力量购买公共文化服务的力度</w:t>
      </w:r>
      <w:r>
        <w:rPr>
          <w:rFonts w:ascii="Times New Roman" w:hAnsi="Times New Roman" w:eastAsia="仿宋_GB2312" w:cs="宋体"/>
          <w:kern w:val="0"/>
          <w:sz w:val="32"/>
          <w:szCs w:val="32"/>
          <w:lang w:val="en-US" w:eastAsia="zh-CN" w:bidi="ar-SA"/>
        </w:rPr>
        <w:t>，吸引社会资本参与公共文化服务体系建设。开展优秀文化普及教育。</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县文化广电体育和旅游局</w:t>
      </w:r>
      <w:r>
        <w:rPr>
          <w:rFonts w:ascii="Times New Roman" w:hAnsi="Times New Roman" w:eastAsia="仿宋_GB2312" w:cs="宋体"/>
          <w:kern w:val="0"/>
          <w:sz w:val="32"/>
          <w:szCs w:val="32"/>
          <w:lang w:val="en-US" w:eastAsia="zh-CN" w:bidi="ar-SA"/>
        </w:rPr>
        <w:t>；配合单位：</w:t>
      </w:r>
      <w:r>
        <w:rPr>
          <w:rFonts w:hint="eastAsia" w:ascii="Times New Roman" w:hAnsi="Times New Roman" w:cs="宋体"/>
          <w:kern w:val="0"/>
          <w:sz w:val="32"/>
          <w:szCs w:val="32"/>
          <w:lang w:val="en-US" w:eastAsia="zh-CN" w:bidi="ar-SA"/>
        </w:rPr>
        <w:t>各乡（镇）人民政府〕</w:t>
      </w:r>
    </w:p>
    <w:p w14:paraId="2187F8AE">
      <w:pPr>
        <w:pStyle w:val="41"/>
        <w:overflowPunct w:val="0"/>
        <w:autoSpaceDE w:val="0"/>
        <w:autoSpaceDN w:val="0"/>
        <w:adjustRightInd w:val="0"/>
        <w:snapToGrid w:val="0"/>
        <w:spacing w:line="360" w:lineRule="auto"/>
        <w:ind w:firstLine="614"/>
        <w:rPr>
          <w:rFonts w:hint="eastAsia" w:ascii="Times New Roman" w:hAnsi="Times New Roman" w:cs="宋体"/>
          <w:kern w:val="0"/>
          <w:sz w:val="32"/>
          <w:szCs w:val="32"/>
          <w:lang w:val="en-US" w:eastAsia="zh-CN" w:bidi="ar-SA"/>
        </w:rPr>
      </w:pPr>
    </w:p>
    <w:p w14:paraId="7319EA66">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55" w:name="_Toc30001"/>
      <w:bookmarkStart w:id="56" w:name="_Toc25069"/>
      <w:r>
        <w:rPr>
          <w:rStyle w:val="20"/>
          <w:rFonts w:hint="eastAsia" w:ascii="Times New Roman" w:hAnsi="Times New Roman" w:eastAsia="楷体_GB2312" w:cs="楷体_GB2312"/>
          <w:b w:val="0"/>
          <w:bCs w:val="0"/>
          <w:kern w:val="0"/>
          <w:sz w:val="32"/>
          <w:szCs w:val="32"/>
        </w:rPr>
        <w:t xml:space="preserve">第三节  </w:t>
      </w:r>
      <w:r>
        <w:rPr>
          <w:rFonts w:hint="eastAsia" w:ascii="Times New Roman" w:hAnsi="Times New Roman" w:eastAsia="楷体_GB2312" w:cs="楷体_GB2312"/>
          <w:b w:val="0"/>
          <w:bCs w:val="0"/>
          <w:kern w:val="0"/>
          <w:sz w:val="32"/>
          <w:szCs w:val="32"/>
        </w:rPr>
        <w:t>强化文化传承和利用</w:t>
      </w:r>
      <w:bookmarkEnd w:id="55"/>
      <w:bookmarkEnd w:id="56"/>
    </w:p>
    <w:p w14:paraId="572D3105">
      <w:pPr>
        <w:overflowPunct w:val="0"/>
        <w:autoSpaceDE w:val="0"/>
        <w:autoSpaceDN w:val="0"/>
        <w:adjustRightInd w:val="0"/>
        <w:snapToGrid w:val="0"/>
        <w:spacing w:line="360" w:lineRule="auto"/>
        <w:ind w:firstLine="396" w:firstLineChars="200"/>
        <w:rPr>
          <w:rFonts w:ascii="Times New Roman" w:hAnsi="Times New Roman" w:eastAsia="仿宋_GB2312" w:cs="仿宋_GB2312"/>
          <w:b/>
          <w:bCs/>
          <w:szCs w:val="21"/>
        </w:rPr>
      </w:pPr>
    </w:p>
    <w:p w14:paraId="39A32EC6">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坚定文化自信，强化文化传承和利用。始终坚定道路自信、理论自信、制度自信、文化自信，发挥好全州优秀传统文化的优势</w:t>
      </w:r>
      <w:r>
        <w:rPr>
          <w:rFonts w:hint="eastAsia" w:ascii="Times New Roman" w:hAnsi="Times New Roman" w:eastAsia="仿宋_GB2312"/>
          <w:sz w:val="32"/>
          <w:szCs w:val="30"/>
        </w:rPr>
        <w:t>，做好文化的保护、传承、弘扬。坚持“在保护中利用”，挖掘好全县历史遗存、民族文化特色古民居、民间工艺等物质文化遗产，挖掘、整理县域内“非遗”项目，建立完善的非物质文化遗产档案资料数据库。强化县域内重要文化和自然遗产、</w:t>
      </w:r>
      <w:r>
        <w:rPr>
          <w:rFonts w:hint="eastAsia" w:ascii="Times New Roman" w:hAnsi="Times New Roman" w:eastAsia="仿宋_GB2312"/>
          <w:color w:val="auto"/>
          <w:sz w:val="32"/>
          <w:szCs w:val="30"/>
        </w:rPr>
        <w:t>非物质文化遗产系统性保护。</w:t>
      </w:r>
      <w:r>
        <w:rPr>
          <w:rFonts w:hint="eastAsia" w:ascii="Times New Roman" w:hAnsi="Times New Roman" w:eastAsia="仿宋_GB2312" w:cs="仿宋_GB2312"/>
          <w:color w:val="auto"/>
          <w:sz w:val="32"/>
          <w:szCs w:val="32"/>
        </w:rPr>
        <w:t>加强鳌鱼头、龙王庙国家考古遗址保护，实</w:t>
      </w:r>
      <w:r>
        <w:rPr>
          <w:rFonts w:hint="eastAsia" w:ascii="Times New Roman" w:hAnsi="Times New Roman" w:eastAsia="仿宋_GB2312" w:cs="仿宋_GB2312"/>
          <w:sz w:val="32"/>
          <w:szCs w:val="32"/>
        </w:rPr>
        <w:t>施文物和文化遗产保护维修工程，推进遗址公园和博物馆建设，规划建设一批历史文化街区，创建国家文物保护利用示范区。推进非物质文化遗产传承保护与旅游产业融合发展，催生新型文化业态，打造具有全州特色和民族特质的文化遗产保护传承体系，抓好非物质文化遗产传承人培养。大力挖掘红色文化、古村文化等，</w:t>
      </w:r>
      <w:r>
        <w:rPr>
          <w:rFonts w:hint="eastAsia" w:ascii="Times New Roman" w:hAnsi="Times New Roman" w:eastAsia="仿宋_GB2312"/>
          <w:sz w:val="32"/>
          <w:szCs w:val="30"/>
        </w:rPr>
        <w:t>依托红色文化优势，</w:t>
      </w:r>
      <w:r>
        <w:rPr>
          <w:rFonts w:hint="eastAsia" w:ascii="Times New Roman" w:hAnsi="Times New Roman" w:eastAsia="仿宋_GB2312" w:cs="仿宋_GB2312"/>
          <w:sz w:val="32"/>
          <w:szCs w:val="32"/>
        </w:rPr>
        <w:t>积极创建长征国家文化公园，</w:t>
      </w:r>
      <w:r>
        <w:rPr>
          <w:rFonts w:hint="eastAsia" w:ascii="Times New Roman" w:hAnsi="Times New Roman" w:eastAsia="仿宋_GB2312"/>
          <w:sz w:val="32"/>
          <w:szCs w:val="30"/>
        </w:rPr>
        <w:t>加快推进全州县红色文化主题小镇等乡村文旅综合体建设。</w:t>
      </w:r>
      <w:r>
        <w:rPr>
          <w:rFonts w:hint="eastAsia" w:ascii="Times New Roman" w:hAnsi="Times New Roman" w:eastAsia="仿宋_GB2312" w:cs="仿宋_GB2312"/>
          <w:sz w:val="32"/>
          <w:szCs w:val="32"/>
        </w:rPr>
        <w:t>推动文化进乡村进校园、文艺精品下基层等系列活动，突出抓好乡风民风、人居环境和文化生活建设，补齐农村“精神短板”</w:t>
      </w:r>
      <w:r>
        <w:rPr>
          <w:rFonts w:hint="eastAsia" w:ascii="Times New Roman" w:hAnsi="Times New Roman" w:eastAsia="仿宋_GB2312" w:cs="宋体"/>
          <w:kern w:val="0"/>
          <w:sz w:val="32"/>
          <w:szCs w:val="32"/>
        </w:rPr>
        <w:t>。</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县文化广电体育和旅游局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296ED9B7">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拓宽发展思路，推动红色旅游大发展。按照“一中心”即湘江战役纪念园、“两条线”即湘江岸线和湘桂古道沿线、“三个加”即</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红色文化+旅游</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红色文化+乡村振兴</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红色文化+工业</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和</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红色文化+</w:t>
      </w:r>
      <w:r>
        <w:rPr>
          <w:rFonts w:hint="eastAsia" w:ascii="Times New Roman" w:hAnsi="Times New Roman" w:eastAsia="仿宋_GB2312" w:cs="宋体"/>
          <w:kern w:val="0"/>
          <w:sz w:val="32"/>
          <w:szCs w:val="32"/>
          <w:lang w:val="en-US" w:eastAsia="zh-CN"/>
        </w:rPr>
        <w:t>N</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的发展思路，加快“九个一”项目建设，辐射带动周边300多平方公里范围的红色旅游大发展。</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县文化广电体育和旅游局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全州湘江战役文保传承中心</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3A123363">
      <w:pPr>
        <w:pStyle w:val="16"/>
        <w:overflowPunct w:val="0"/>
        <w:autoSpaceDE w:val="0"/>
        <w:autoSpaceDN w:val="0"/>
        <w:adjustRightInd w:val="0"/>
        <w:snapToGrid w:val="0"/>
        <w:spacing w:after="0" w:line="360" w:lineRule="auto"/>
        <w:ind w:firstLine="394"/>
        <w:rPr>
          <w:rFonts w:ascii="Times New Roman" w:hAnsi="Times New Roman" w:eastAsia="仿宋_GB2312" w:cs="仿宋_GB2312"/>
          <w:szCs w:val="21"/>
        </w:rPr>
      </w:pPr>
    </w:p>
    <w:p w14:paraId="3CB3A0E3">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57" w:name="_Toc17450"/>
      <w:r>
        <w:rPr>
          <w:rStyle w:val="20"/>
          <w:rFonts w:hint="eastAsia" w:ascii="Times New Roman" w:hAnsi="Times New Roman" w:eastAsia="楷体_GB2312" w:cs="楷体_GB2312"/>
          <w:b w:val="0"/>
          <w:bCs w:val="0"/>
          <w:kern w:val="0"/>
          <w:sz w:val="32"/>
          <w:szCs w:val="32"/>
        </w:rPr>
        <w:t xml:space="preserve">第四节  </w:t>
      </w:r>
      <w:r>
        <w:rPr>
          <w:rFonts w:hint="eastAsia" w:ascii="Times New Roman" w:hAnsi="Times New Roman" w:eastAsia="楷体_GB2312" w:cs="楷体_GB2312"/>
          <w:b w:val="0"/>
          <w:bCs w:val="0"/>
          <w:kern w:val="0"/>
          <w:sz w:val="32"/>
          <w:szCs w:val="32"/>
        </w:rPr>
        <w:t>推动文化产业高质量发展</w:t>
      </w:r>
      <w:bookmarkEnd w:id="57"/>
    </w:p>
    <w:p w14:paraId="6CC8BBBB">
      <w:pPr>
        <w:pStyle w:val="16"/>
        <w:overflowPunct w:val="0"/>
        <w:autoSpaceDE w:val="0"/>
        <w:autoSpaceDN w:val="0"/>
        <w:adjustRightInd w:val="0"/>
        <w:snapToGrid w:val="0"/>
        <w:spacing w:after="0" w:line="360" w:lineRule="auto"/>
        <w:ind w:firstLine="394"/>
        <w:rPr>
          <w:rFonts w:ascii="Times New Roman" w:hAnsi="Times New Roman" w:eastAsia="仿宋_GB2312" w:cs="仿宋_GB2312"/>
          <w:szCs w:val="21"/>
        </w:rPr>
      </w:pPr>
    </w:p>
    <w:p w14:paraId="77DE3C3E">
      <w:pPr>
        <w:pStyle w:val="16"/>
        <w:overflowPunct w:val="0"/>
        <w:autoSpaceDE w:val="0"/>
        <w:autoSpaceDN w:val="0"/>
        <w:adjustRightInd w:val="0"/>
        <w:snapToGrid w:val="0"/>
        <w:spacing w:after="0" w:line="360" w:lineRule="auto"/>
        <w:ind w:firstLine="614"/>
        <w:rPr>
          <w:rFonts w:ascii="Times New Roman" w:hAnsi="Times New Roman" w:eastAsia="仿宋_GB2312" w:cs="宋体"/>
          <w:kern w:val="0"/>
          <w:sz w:val="32"/>
          <w:szCs w:val="32"/>
          <w:lang w:val="en-US" w:eastAsia="zh-CN" w:bidi="ar-SA"/>
        </w:rPr>
      </w:pPr>
      <w:r>
        <w:rPr>
          <w:rFonts w:hint="eastAsia" w:ascii="Times New Roman" w:hAnsi="Times New Roman" w:eastAsia="仿宋_GB2312" w:cs="仿宋_GB2312"/>
          <w:sz w:val="32"/>
          <w:szCs w:val="32"/>
        </w:rPr>
        <w:t>深化文化体制改革，完善文化产业规划与政策，加强文化市场体系建设，激活各类文化主体活力，扩大优质文化产品供给。加快布局线上线下文化新业态繁荣文化演艺产业，大力发展文化创意产业，建设一批文化创意产业园区</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街区</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打造地域特色文化。实施文化产业数字化战略，推进文化大数据体系建设。培育壮大龙头文化企业，鼓励中小微文化企业差异化创新发展，促进文化企业规模化、品牌化、网络化深入实施文化走出去工程，积极参与国家</w:t>
      </w:r>
      <w:r>
        <w:rPr>
          <w:rFonts w:hint="eastAsia" w:ascii="Times New Roman" w:hAnsi="Times New Roman" w:eastAsia="仿宋_GB2312" w:cs="宋体"/>
          <w:kern w:val="0"/>
          <w:sz w:val="32"/>
          <w:szCs w:val="32"/>
          <w:lang w:val="en-US" w:eastAsia="zh-CN" w:bidi="ar-SA"/>
        </w:rPr>
        <w:t>“一带一路”软力量建设，做活做大文化产业，提升全州文化影响力。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县文化广电体育和旅游局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各乡（镇）人民政府〕</w:t>
      </w:r>
    </w:p>
    <w:p w14:paraId="11C43891">
      <w:pPr>
        <w:pStyle w:val="27"/>
        <w:overflowPunct w:val="0"/>
        <w:snapToGrid w:val="0"/>
        <w:spacing w:line="360" w:lineRule="auto"/>
        <w:jc w:val="both"/>
        <w:rPr>
          <w:rFonts w:ascii="Times New Roman" w:hAnsi="Times New Roman"/>
          <w:sz w:val="21"/>
          <w:szCs w:val="21"/>
        </w:rPr>
      </w:pPr>
    </w:p>
    <w:p w14:paraId="0FC70BF1">
      <w:pPr>
        <w:ind w:firstLine="616" w:firstLineChars="200"/>
        <w:rPr>
          <w:rStyle w:val="20"/>
          <w:rFonts w:ascii="Times New Roman" w:hAnsi="Times New Roman" w:eastAsia="黑体" w:cs="宋体"/>
          <w:b w:val="0"/>
          <w:bCs/>
          <w:kern w:val="0"/>
          <w:sz w:val="32"/>
          <w:szCs w:val="32"/>
        </w:rPr>
      </w:pPr>
      <w:bookmarkStart w:id="58" w:name="_Toc16932"/>
      <w:r>
        <w:rPr>
          <w:rStyle w:val="20"/>
          <w:rFonts w:hint="eastAsia" w:ascii="Times New Roman" w:hAnsi="Times New Roman" w:eastAsia="黑体" w:cs="宋体"/>
          <w:b w:val="0"/>
          <w:bCs/>
          <w:kern w:val="0"/>
          <w:sz w:val="32"/>
          <w:szCs w:val="32"/>
        </w:rPr>
        <w:t>九、切实补齐民生短板  不断增进民生福祉</w:t>
      </w:r>
      <w:bookmarkEnd w:id="58"/>
    </w:p>
    <w:p w14:paraId="76CE5425">
      <w:pPr>
        <w:overflowPunct w:val="0"/>
        <w:autoSpaceDE w:val="0"/>
        <w:autoSpaceDN w:val="0"/>
        <w:adjustRightInd w:val="0"/>
        <w:snapToGrid w:val="0"/>
        <w:spacing w:line="360" w:lineRule="auto"/>
        <w:ind w:firstLine="396" w:firstLineChars="200"/>
        <w:rPr>
          <w:rFonts w:ascii="Times New Roman" w:hAnsi="Times New Roman" w:eastAsia="仿宋_GB2312" w:cs="仿宋_GB2312"/>
          <w:kern w:val="0"/>
          <w:szCs w:val="21"/>
        </w:rPr>
      </w:pPr>
    </w:p>
    <w:p w14:paraId="6B76C968">
      <w:pPr>
        <w:overflowPunct w:val="0"/>
        <w:autoSpaceDE w:val="0"/>
        <w:autoSpaceDN w:val="0"/>
        <w:adjustRightInd w:val="0"/>
        <w:snapToGrid w:val="0"/>
        <w:spacing w:line="360" w:lineRule="auto"/>
        <w:ind w:firstLine="616" w:firstLineChars="200"/>
        <w:rPr>
          <w:rFonts w:hint="eastAsia" w:ascii="Times New Roman" w:hAnsi="Times New Roman" w:eastAsia="仿宋_GB2312"/>
          <w:sz w:val="21"/>
          <w:szCs w:val="21"/>
          <w:lang w:eastAsia="zh-CN"/>
        </w:rPr>
      </w:pPr>
      <w:r>
        <w:rPr>
          <w:rFonts w:hint="eastAsia" w:ascii="Times New Roman" w:hAnsi="Times New Roman" w:eastAsia="仿宋_GB2312" w:cs="仿宋_GB2312"/>
          <w:kern w:val="0"/>
          <w:sz w:val="32"/>
          <w:szCs w:val="32"/>
        </w:rPr>
        <w:t>保障和改善民生是经济发展的出发点和落脚点。将围绕“补短板、扩供给、提质量、促创新”，以民生需求为导向培育经济新增长点，加大政府支持带动社会力量投入，增加普惠优质的教育、医疗、养老、托幼等服务供给，使人民获得感、幸福感、安全感更加充实、更有保障、更可持续</w:t>
      </w:r>
      <w:r>
        <w:rPr>
          <w:rFonts w:hint="eastAsia" w:ascii="Times New Roman" w:hAnsi="Times New Roman" w:eastAsia="仿宋_GB2312" w:cs="仿宋_GB2312"/>
          <w:kern w:val="0"/>
          <w:sz w:val="32"/>
          <w:szCs w:val="32"/>
          <w:lang w:eastAsia="zh-CN"/>
        </w:rPr>
        <w:t>。</w:t>
      </w:r>
    </w:p>
    <w:p w14:paraId="632B9475">
      <w:pPr>
        <w:overflowPunct w:val="0"/>
        <w:autoSpaceDE w:val="0"/>
        <w:autoSpaceDN w:val="0"/>
        <w:adjustRightInd w:val="0"/>
        <w:snapToGrid w:val="0"/>
        <w:spacing w:line="360" w:lineRule="auto"/>
        <w:jc w:val="center"/>
        <w:outlineLvl w:val="1"/>
        <w:rPr>
          <w:rFonts w:ascii="Times New Roman" w:hAnsi="Times New Roman" w:eastAsia="宋体" w:cs="宋体"/>
          <w:b/>
          <w:kern w:val="0"/>
          <w:sz w:val="32"/>
          <w:szCs w:val="32"/>
        </w:rPr>
      </w:pPr>
      <w:bookmarkStart w:id="59" w:name="_Toc20111"/>
    </w:p>
    <w:p w14:paraId="4C86DC6A">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kern w:val="0"/>
          <w:sz w:val="32"/>
          <w:szCs w:val="32"/>
        </w:rPr>
      </w:pPr>
      <w:r>
        <w:rPr>
          <w:rFonts w:hint="eastAsia" w:ascii="Times New Roman" w:hAnsi="Times New Roman" w:eastAsia="楷体_GB2312" w:cs="楷体_GB2312"/>
          <w:b w:val="0"/>
          <w:bCs/>
          <w:kern w:val="0"/>
          <w:sz w:val="32"/>
          <w:szCs w:val="32"/>
        </w:rPr>
        <w:t>第一节  逐步缩小收入分配差距</w:t>
      </w:r>
      <w:bookmarkEnd w:id="59"/>
    </w:p>
    <w:p w14:paraId="1988504A">
      <w:pPr>
        <w:overflowPunct w:val="0"/>
        <w:autoSpaceDE w:val="0"/>
        <w:autoSpaceDN w:val="0"/>
        <w:adjustRightInd w:val="0"/>
        <w:snapToGrid w:val="0"/>
        <w:spacing w:line="360" w:lineRule="auto"/>
        <w:ind w:firstLine="396" w:firstLineChars="200"/>
        <w:rPr>
          <w:rFonts w:ascii="Times New Roman" w:hAnsi="Times New Roman" w:eastAsia="仿宋_GB2312" w:cs="仿宋_GB2312"/>
          <w:b/>
          <w:kern w:val="0"/>
          <w:szCs w:val="21"/>
        </w:rPr>
      </w:pPr>
    </w:p>
    <w:p w14:paraId="17567C3C">
      <w:pPr>
        <w:overflowPunct w:val="0"/>
        <w:autoSpaceDE w:val="0"/>
        <w:autoSpaceDN w:val="0"/>
        <w:adjustRightInd w:val="0"/>
        <w:snapToGrid w:val="0"/>
        <w:spacing w:line="360" w:lineRule="auto"/>
        <w:ind w:firstLine="616" w:firstLineChars="200"/>
        <w:rPr>
          <w:rFonts w:ascii="Times New Roman" w:hAnsi="Times New Roman" w:eastAsia="仿宋_GB2312" w:cs="仿宋_GB2312"/>
          <w:kern w:val="0"/>
          <w:sz w:val="32"/>
          <w:szCs w:val="32"/>
        </w:rPr>
      </w:pPr>
      <w:r>
        <w:rPr>
          <w:rFonts w:hint="eastAsia" w:ascii="Times New Roman" w:hAnsi="Times New Roman" w:eastAsia="仿宋_GB2312" w:cs="宋体"/>
          <w:kern w:val="0"/>
          <w:sz w:val="32"/>
          <w:szCs w:val="32"/>
        </w:rPr>
        <w:t>大力发展县域生产力，提高劳动者就业质量，拓宽居民劳动收入，提高劳动者收入水平。多渠道增加城乡居民财产性收入。多</w:t>
      </w:r>
      <w:r>
        <w:rPr>
          <w:rFonts w:hint="eastAsia" w:ascii="Times New Roman" w:hAnsi="Times New Roman" w:eastAsia="仿宋_GB2312" w:cs="仿宋_GB2312"/>
          <w:kern w:val="0"/>
          <w:sz w:val="32"/>
          <w:szCs w:val="32"/>
        </w:rPr>
        <w:t>渠道拓宽城乡居民劳务性收入和财产性收入。</w:t>
      </w:r>
    </w:p>
    <w:p w14:paraId="779B29F1">
      <w:pPr>
        <w:overflowPunct w:val="0"/>
        <w:autoSpaceDE w:val="0"/>
        <w:autoSpaceDN w:val="0"/>
        <w:adjustRightInd w:val="0"/>
        <w:snapToGrid w:val="0"/>
        <w:spacing w:line="360" w:lineRule="auto"/>
        <w:ind w:firstLine="616" w:firstLineChars="200"/>
        <w:rPr>
          <w:rFonts w:ascii="Times New Roman" w:hAnsi="Times New Roman" w:eastAsia="仿宋_GB2312" w:cs="仿宋_GB2312"/>
          <w:color w:val="000000" w:themeColor="text1"/>
          <w:kern w:val="0"/>
          <w:sz w:val="32"/>
          <w:szCs w:val="32"/>
        </w:rPr>
      </w:pPr>
      <w:r>
        <w:rPr>
          <w:rFonts w:hint="eastAsia" w:ascii="Times New Roman" w:hAnsi="Times New Roman" w:eastAsia="仿宋_GB2312" w:cs="仿宋_GB2312"/>
          <w:color w:val="000000" w:themeColor="text1"/>
          <w:kern w:val="0"/>
          <w:sz w:val="32"/>
          <w:szCs w:val="32"/>
        </w:rPr>
        <w:t>提高人民生活品质，落实就业优先战略和积极就业政策，做好高校毕业生、退役军人、农民工和城镇困难人员等重点群体就业工作。要完善多渠道灵活就业的社会保障制度，维护好卡车司机、快递小哥、外卖配送员等的合法权益。</w:t>
      </w:r>
    </w:p>
    <w:p w14:paraId="35E003E0">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kern w:val="0"/>
          <w:sz w:val="32"/>
          <w:szCs w:val="32"/>
        </w:rPr>
        <w:t>坚持就业优先战略，实行积极就业政策。出台回乡创业政策</w:t>
      </w:r>
      <w:r>
        <w:rPr>
          <w:rFonts w:hint="eastAsia" w:ascii="Times New Roman" w:hAnsi="Times New Roman" w:eastAsia="仿宋_GB2312" w:cs="仿宋_GB2312"/>
          <w:sz w:val="32"/>
          <w:szCs w:val="32"/>
        </w:rPr>
        <w:t>，</w:t>
      </w:r>
      <w:r>
        <w:rPr>
          <w:rFonts w:hint="eastAsia" w:ascii="Times New Roman" w:hAnsi="Times New Roman" w:eastAsia="仿宋_GB2312" w:cs="仿宋_GB2312"/>
          <w:kern w:val="0"/>
          <w:sz w:val="32"/>
          <w:szCs w:val="32"/>
        </w:rPr>
        <w:t>鼓励回乡创业带动就业。</w:t>
      </w:r>
      <w:r>
        <w:rPr>
          <w:rFonts w:hint="eastAsia" w:ascii="Times New Roman" w:hAnsi="Times New Roman" w:eastAsia="仿宋_GB2312" w:cs="宋体"/>
          <w:kern w:val="0"/>
          <w:sz w:val="32"/>
          <w:szCs w:val="32"/>
        </w:rPr>
        <w:t>尽可能创造公共就业岗位，促进高校毕业生等青年群体、农民工多渠道就业。</w:t>
      </w:r>
      <w:r>
        <w:rPr>
          <w:rFonts w:hint="eastAsia" w:ascii="Times New Roman" w:hAnsi="Times New Roman" w:eastAsia="仿宋_GB2312" w:cs="仿宋_GB2312"/>
          <w:sz w:val="32"/>
          <w:szCs w:val="32"/>
        </w:rPr>
        <w:t>扎实有效治理拖欠农民工工资问题。妥善解决易地搬迁群体就业。</w:t>
      </w:r>
      <w:r>
        <w:rPr>
          <w:rFonts w:hint="eastAsia" w:ascii="Times New Roman" w:hAnsi="Times New Roman" w:eastAsia="仿宋_GB2312" w:cs="仿宋_GB2312"/>
          <w:kern w:val="0"/>
          <w:sz w:val="32"/>
          <w:szCs w:val="32"/>
        </w:rPr>
        <w:t>健全就业公共服务体系、劳动关系协调机制、终身职业技能培训制度。</w:t>
      </w:r>
      <w:r>
        <w:rPr>
          <w:rFonts w:hint="eastAsia" w:ascii="Times New Roman" w:hAnsi="Times New Roman" w:eastAsia="仿宋_GB2312" w:cs="仿宋_GB2312"/>
          <w:sz w:val="32"/>
          <w:szCs w:val="32"/>
        </w:rPr>
        <w:t>大规模开展职业农民、外出务工人员</w:t>
      </w:r>
      <w:r>
        <w:rPr>
          <w:rFonts w:hint="eastAsia" w:ascii="Times New Roman" w:hAnsi="Times New Roman" w:eastAsia="仿宋_GB2312" w:cs="仿宋_GB2312"/>
          <w:kern w:val="0"/>
          <w:sz w:val="32"/>
          <w:szCs w:val="32"/>
        </w:rPr>
        <w:t>、农民工、</w:t>
      </w:r>
      <w:r>
        <w:rPr>
          <w:rFonts w:hint="eastAsia" w:ascii="Times New Roman" w:hAnsi="Times New Roman" w:eastAsia="仿宋_GB2312" w:cs="仿宋_GB2312"/>
          <w:sz w:val="32"/>
          <w:szCs w:val="32"/>
          <w:shd w:val="clear" w:color="auto" w:fill="FFFFFF"/>
        </w:rPr>
        <w:t>贫困户</w:t>
      </w:r>
      <w:r>
        <w:rPr>
          <w:rFonts w:hint="eastAsia" w:ascii="Times New Roman" w:hAnsi="Times New Roman" w:eastAsia="仿宋_GB2312" w:cs="仿宋_GB2312"/>
          <w:sz w:val="32"/>
          <w:szCs w:val="32"/>
        </w:rPr>
        <w:t>职业技能培训，</w:t>
      </w:r>
      <w:r>
        <w:rPr>
          <w:rFonts w:hint="eastAsia" w:ascii="Times New Roman" w:hAnsi="Times New Roman" w:eastAsia="仿宋_GB2312" w:cs="宋体"/>
          <w:kern w:val="0"/>
          <w:sz w:val="32"/>
          <w:szCs w:val="32"/>
        </w:rPr>
        <w:t>提高劳动者素质，实现更高质量和更充分就业，增加劳动者务工收入。</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县人力资源社会保障局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rPr>
        <w:t>各部门、</w:t>
      </w:r>
      <w:r>
        <w:rPr>
          <w:rFonts w:hint="eastAsia" w:ascii="Times New Roman" w:hAnsi="Times New Roman" w:eastAsia="仿宋_GB2312" w:cs="宋体"/>
          <w:kern w:val="0"/>
          <w:sz w:val="32"/>
          <w:szCs w:val="32"/>
          <w:lang w:eastAsia="zh-CN"/>
        </w:rPr>
        <w:t>各乡（镇）人民政府〕</w:t>
      </w:r>
    </w:p>
    <w:p w14:paraId="79D4AF55">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通过政策性收购、订单农业、农产</w:t>
      </w:r>
      <w:r>
        <w:rPr>
          <w:rFonts w:hint="eastAsia" w:ascii="Times New Roman" w:hAnsi="Times New Roman" w:eastAsia="仿宋_GB2312" w:cs="仿宋_GB2312"/>
          <w:sz w:val="32"/>
          <w:szCs w:val="32"/>
          <w:shd w:val="clear" w:color="auto" w:fill="FFFFFF"/>
        </w:rPr>
        <w:t>品电商、品牌打造，平台推介等服务，提高农产品品质和市场竞争力，实现农民丰产丰收。</w:t>
      </w:r>
      <w:r>
        <w:rPr>
          <w:rFonts w:hint="eastAsia" w:ascii="Times New Roman" w:hAnsi="Times New Roman" w:eastAsia="仿宋_GB2312" w:cs="仿宋_GB2312"/>
          <w:kern w:val="0"/>
          <w:sz w:val="32"/>
          <w:szCs w:val="32"/>
        </w:rPr>
        <w:t>鼓励农村居民以自有资产入股合作社、集体经济，</w:t>
      </w:r>
      <w:r>
        <w:rPr>
          <w:rFonts w:hint="eastAsia" w:ascii="Times New Roman" w:hAnsi="Times New Roman" w:eastAsia="仿宋_GB2312" w:cs="仿宋_GB2312"/>
          <w:sz w:val="32"/>
          <w:szCs w:val="32"/>
        </w:rPr>
        <w:t>实现农民变股民，</w:t>
      </w:r>
      <w:r>
        <w:rPr>
          <w:rFonts w:hint="eastAsia" w:ascii="Times New Roman" w:hAnsi="Times New Roman" w:eastAsia="仿宋_GB2312" w:cs="仿宋_GB2312"/>
          <w:kern w:val="0"/>
          <w:sz w:val="32"/>
          <w:szCs w:val="32"/>
        </w:rPr>
        <w:t>增加财产性收入。〔</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0C6817BB">
      <w:pPr>
        <w:overflowPunct w:val="0"/>
        <w:autoSpaceDE w:val="0"/>
        <w:autoSpaceDN w:val="0"/>
        <w:adjustRightInd w:val="0"/>
        <w:snapToGrid w:val="0"/>
        <w:spacing w:line="360" w:lineRule="auto"/>
        <w:jc w:val="both"/>
        <w:outlineLvl w:val="1"/>
        <w:rPr>
          <w:rFonts w:hint="eastAsia" w:ascii="Times New Roman" w:hAnsi="Times New Roman" w:eastAsia="楷体_GB2312" w:cs="楷体_GB2312"/>
          <w:b w:val="0"/>
          <w:bCs/>
          <w:kern w:val="0"/>
          <w:sz w:val="32"/>
          <w:szCs w:val="32"/>
        </w:rPr>
      </w:pPr>
      <w:bookmarkStart w:id="60" w:name="_Toc30964"/>
    </w:p>
    <w:p w14:paraId="5578BC37">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kern w:val="0"/>
          <w:sz w:val="32"/>
          <w:szCs w:val="32"/>
        </w:rPr>
      </w:pPr>
      <w:r>
        <w:rPr>
          <w:rFonts w:hint="eastAsia" w:ascii="Times New Roman" w:hAnsi="Times New Roman" w:eastAsia="楷体_GB2312" w:cs="楷体_GB2312"/>
          <w:b w:val="0"/>
          <w:bCs/>
          <w:kern w:val="0"/>
          <w:sz w:val="32"/>
          <w:szCs w:val="32"/>
        </w:rPr>
        <w:t>第二节  加快补齐城乡教育短板</w:t>
      </w:r>
      <w:bookmarkEnd w:id="60"/>
    </w:p>
    <w:p w14:paraId="5DBFBE49">
      <w:pPr>
        <w:overflowPunct w:val="0"/>
        <w:autoSpaceDE w:val="0"/>
        <w:autoSpaceDN w:val="0"/>
        <w:adjustRightInd w:val="0"/>
        <w:snapToGrid w:val="0"/>
        <w:spacing w:line="360" w:lineRule="auto"/>
        <w:ind w:firstLine="396" w:firstLineChars="200"/>
        <w:rPr>
          <w:rFonts w:ascii="Times New Roman" w:hAnsi="Times New Roman" w:eastAsia="仿宋_GB2312" w:cs="仿宋_GB2312"/>
          <w:b/>
          <w:bCs/>
          <w:szCs w:val="21"/>
        </w:rPr>
      </w:pPr>
    </w:p>
    <w:p w14:paraId="2B47ECC5">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坚持教育优先发展战略。统筹推进基础教育巩固提升，建设高水平教育</w:t>
      </w:r>
      <w:r>
        <w:rPr>
          <w:rFonts w:hint="eastAsia" w:ascii="Times New Roman" w:hAnsi="Times New Roman" w:eastAsia="仿宋_GB2312" w:cs="宋体"/>
          <w:kern w:val="0"/>
          <w:sz w:val="32"/>
          <w:szCs w:val="32"/>
          <w:lang w:eastAsia="zh-CN"/>
        </w:rPr>
        <w:t>，完善</w:t>
      </w:r>
      <w:r>
        <w:rPr>
          <w:rFonts w:hint="eastAsia" w:ascii="Times New Roman" w:hAnsi="Times New Roman" w:eastAsia="仿宋_GB2312" w:cs="宋体"/>
          <w:kern w:val="0"/>
          <w:sz w:val="32"/>
          <w:szCs w:val="32"/>
        </w:rPr>
        <w:t>高质量教育</w:t>
      </w:r>
      <w:r>
        <w:rPr>
          <w:rFonts w:hint="eastAsia" w:ascii="Times New Roman" w:hAnsi="Times New Roman" w:eastAsia="仿宋_GB2312" w:cs="宋体"/>
          <w:kern w:val="0"/>
          <w:sz w:val="32"/>
          <w:szCs w:val="32"/>
          <w:lang w:eastAsia="zh-CN"/>
        </w:rPr>
        <w:t>体系</w:t>
      </w:r>
      <w:r>
        <w:rPr>
          <w:rFonts w:hint="eastAsia" w:ascii="Times New Roman" w:hAnsi="Times New Roman" w:eastAsia="仿宋_GB2312" w:cs="宋体"/>
          <w:kern w:val="0"/>
          <w:sz w:val="32"/>
          <w:szCs w:val="32"/>
        </w:rPr>
        <w:t>。全面贯彻党的教育方针，落实立德树人根本任务，全面建立和落实政府参与、公办民办并举的学前教育体制，积极推进学前教育普及普惠发展，健全学前教育管理机构和专业化管理水平；加快完善特殊教育体系，为残疾儿童提供接受平等教育机会</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推进义务教育优质均衡发展，全面缩小城乡、校际</w:t>
      </w:r>
      <w:r>
        <w:rPr>
          <w:rFonts w:hint="eastAsia" w:ascii="Times New Roman" w:hAnsi="Times New Roman" w:eastAsia="仿宋_GB2312" w:cs="仿宋_GB2312"/>
          <w:sz w:val="32"/>
          <w:szCs w:val="32"/>
        </w:rPr>
        <w:t>差距，实现教育公平</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助力乡村振兴战略；提升高中阶段教育普及水平，鼓励普通高中多样化特色发展</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推动高考综合改革，促进科学选拔各类人才，更好地维护社会公平</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确保成功创建自治区级标准化职业教育学校，推动职业教育软硬件建设提质增量</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基本建成与产业发展相匹配、与乡村振兴相结合、中高级衔接、服务于地方经济的现代职业教育；按照撤县设市的发展定位，规划建设大学城，结合全县产业结构和新技术趋势，</w:t>
      </w:r>
      <w:r>
        <w:rPr>
          <w:rFonts w:hint="eastAsia" w:ascii="Times New Roman" w:hAnsi="Times New Roman" w:eastAsia="仿宋_GB2312" w:cs="仿宋_GB2312"/>
          <w:color w:val="000000" w:themeColor="text1"/>
          <w:sz w:val="32"/>
          <w:szCs w:val="32"/>
        </w:rPr>
        <w:t>在江东规划新增高等职业技术学院，</w:t>
      </w:r>
      <w:r>
        <w:rPr>
          <w:rFonts w:hint="eastAsia" w:ascii="Times New Roman" w:hAnsi="Times New Roman" w:eastAsia="仿宋_GB2312" w:cs="仿宋_GB2312"/>
          <w:sz w:val="32"/>
          <w:szCs w:val="32"/>
        </w:rPr>
        <w:t>引进区内外知名高校及专业，在全州设立分校，以产教融合驱动全县产业发展，为县域经济持续高速发展提供人才支撑</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建立以全县红色教育为主题的自治区级社区教育示范基地，推动全州多样性社区教育发展；支持引进和规范民办教育发展，全面规范校外培训机构；</w:t>
      </w:r>
      <w:r>
        <w:rPr>
          <w:rFonts w:hint="eastAsia" w:ascii="Times New Roman" w:hAnsi="Times New Roman" w:eastAsia="仿宋_GB2312" w:cs="仿宋_GB2312"/>
          <w:color w:val="000000" w:themeColor="text1"/>
          <w:sz w:val="32"/>
          <w:szCs w:val="32"/>
        </w:rPr>
        <w:t>加强对线上线下校外培训机构的规范管理。</w:t>
      </w:r>
      <w:r>
        <w:rPr>
          <w:rFonts w:hint="eastAsia" w:ascii="Times New Roman" w:hAnsi="Times New Roman" w:eastAsia="仿宋_GB2312" w:cs="仿宋_GB2312"/>
          <w:sz w:val="32"/>
          <w:szCs w:val="32"/>
        </w:rPr>
        <w:t>统筹推进城乡学校布局规划和建设规模，有序新建、改扩建和维修一批中小学、幼儿园项目，扩大城镇学前教育、义务教育及高中阶段教育资源，逐步消除大校额、大班额。着力构建基于“互联网＋教育”信息技术的新型教育教学模式及教育服务供给方式，促进信息技术与教育教学深度融合，利用现代技术加快推动人才培养模式改革和教学方法改革，建立数字教育资源共建共享机制，实现信息化教学应用全覆盖，打造信息化校园；加强校园文化建设，培育一批文明校园、温馨校园</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依托全州厚重的红色资源，创建一批红军小学，提升文化育人、德育</w:t>
      </w:r>
      <w:r>
        <w:rPr>
          <w:rFonts w:hint="eastAsia" w:ascii="Times New Roman" w:hAnsi="Times New Roman" w:eastAsia="仿宋_GB2312" w:cs="仿宋_GB2312"/>
          <w:sz w:val="32"/>
          <w:szCs w:val="32"/>
          <w:lang w:eastAsia="zh-CN"/>
        </w:rPr>
        <w:t>为先</w:t>
      </w:r>
      <w:r>
        <w:rPr>
          <w:rFonts w:hint="eastAsia" w:ascii="Times New Roman" w:hAnsi="Times New Roman" w:eastAsia="仿宋_GB2312" w:cs="仿宋_GB2312"/>
          <w:sz w:val="32"/>
          <w:szCs w:val="32"/>
        </w:rPr>
        <w:t>水准；坚持立德树人，加强师德师风建设，建设高素质专业化创新型教师队伍，持续加大教师招聘培养力度，落实县管校聘改革新举措，加大师资队伍统筹配置和跨区域调整力度，切实解决教师结构性、阶段性、区域性短缺问题，到2025年小学教师具有大专以上学历人数占比98%，初中教师具有本科学历人数占</w:t>
      </w:r>
      <w:r>
        <w:rPr>
          <w:rFonts w:hint="eastAsia" w:ascii="Times New Roman" w:hAnsi="Times New Roman" w:eastAsia="仿宋_GB2312" w:cs="宋体"/>
          <w:kern w:val="0"/>
          <w:sz w:val="32"/>
          <w:szCs w:val="32"/>
        </w:rPr>
        <w:t>比100%，高中教师具有研究生学历人数占比25%，全面满足教育需要。</w:t>
      </w:r>
      <w:bookmarkStart w:id="61" w:name="_Toc1460"/>
      <w:bookmarkStart w:id="62" w:name="_Toc1416"/>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县教育局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rPr>
        <w:t>各部门、</w:t>
      </w:r>
      <w:r>
        <w:rPr>
          <w:rFonts w:hint="eastAsia" w:ascii="Times New Roman" w:hAnsi="Times New Roman" w:eastAsia="仿宋_GB2312" w:cs="宋体"/>
          <w:kern w:val="0"/>
          <w:sz w:val="32"/>
          <w:szCs w:val="32"/>
          <w:lang w:eastAsia="zh-CN"/>
        </w:rPr>
        <w:t>各乡（镇）人民政府〕</w:t>
      </w:r>
    </w:p>
    <w:p w14:paraId="793A36BD">
      <w:pPr>
        <w:pStyle w:val="27"/>
        <w:overflowPunct w:val="0"/>
        <w:snapToGrid w:val="0"/>
        <w:spacing w:line="360" w:lineRule="auto"/>
        <w:jc w:val="both"/>
        <w:rPr>
          <w:rFonts w:ascii="Times New Roman" w:hAnsi="Times New Roman" w:eastAsia="仿宋_GB2312" w:cs="仿宋_GB2312"/>
          <w:color w:val="FF0000"/>
          <w:kern w:val="2"/>
          <w:sz w:val="21"/>
          <w:szCs w:val="21"/>
        </w:rPr>
      </w:pPr>
    </w:p>
    <w:p w14:paraId="21E5B2E1">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val="0"/>
          <w:kern w:val="0"/>
          <w:sz w:val="32"/>
          <w:szCs w:val="32"/>
        </w:rPr>
      </w:pPr>
      <w:bookmarkStart w:id="63" w:name="_Toc8902"/>
      <w:r>
        <w:rPr>
          <w:rStyle w:val="20"/>
          <w:rFonts w:hint="eastAsia" w:ascii="Times New Roman" w:hAnsi="Times New Roman" w:eastAsia="楷体_GB2312" w:cs="楷体_GB2312"/>
          <w:b w:val="0"/>
          <w:bCs w:val="0"/>
          <w:kern w:val="0"/>
          <w:sz w:val="32"/>
          <w:szCs w:val="32"/>
        </w:rPr>
        <w:t>第三节  加快完善城乡健康养老服务体系</w:t>
      </w:r>
      <w:bookmarkEnd w:id="61"/>
      <w:bookmarkEnd w:id="62"/>
      <w:bookmarkEnd w:id="63"/>
    </w:p>
    <w:p w14:paraId="31B605A3">
      <w:pPr>
        <w:overflowPunct w:val="0"/>
        <w:autoSpaceDE w:val="0"/>
        <w:autoSpaceDN w:val="0"/>
        <w:adjustRightInd w:val="0"/>
        <w:snapToGrid w:val="0"/>
        <w:spacing w:line="360" w:lineRule="auto"/>
        <w:ind w:firstLine="396" w:firstLineChars="200"/>
        <w:rPr>
          <w:rFonts w:ascii="Times New Roman" w:hAnsi="Times New Roman" w:eastAsia="仿宋_GB2312" w:cs="仿宋_GB2312"/>
          <w:b/>
          <w:bCs/>
          <w:kern w:val="0"/>
          <w:szCs w:val="21"/>
        </w:rPr>
      </w:pPr>
    </w:p>
    <w:p w14:paraId="5EB41564">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持续完善健康养老服务体系，补齐康养服务短板，不断满足人民群众对医疗卫生服务以及康养养老服务的需求，全面提高医疗卫生康养服务水平和突发公共卫生事件的应急能力，逐步解决“看病难、看病贵”问题，为人民群众身心健康服务。到2025年基本完成医药卫生改革目标任务，覆盖城乡居民的健康养老服务制度初步建立。</w:t>
      </w:r>
    </w:p>
    <w:p w14:paraId="380590D6">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推动养老事业和养老产业协同发展，多途径优化养老服务供给结构，多渠道增加养老服务有效供给。发展普惠型养老服务和互助性养老，支持家庭承担养老功能，培育养老新业态，构建居家社区机构相协调、医养康养相结合的养老服务体系，健全养老服务综合监管制度。围绕“医养融合，老有所托”，建设县级公共养老机构。大力发展居家和村（社区）养老养老服务，加快建设社区日间照料中心、托老所等设施。</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县民政局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3934A98E">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推进闲置物业养老化。鼓励社会力量利用社区、村屯闲置务业，兴办养老服务机构。深入推进养老机构公建民营、民办公助等改革，加强养老院管理，提高服务质量和水平。高度重视解决农村养老问题，健全包括留守老人在内的农村“三留守”关爱服务长效机制。全面推进适老化宜居环境建设，加快建设老年友好型社会，让所有老年人都能老有所养、老有所依、老有所乐、老有所安。持续提升养老保障和社会救助水平，完善社会福利，加大对困难群体的帮扶救助力度，民生保障事业发展水平稳步提升。实施特困人员供养服务设施</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敬老院</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改造提升工程，2022年底前全县至少建有一所以农村特困失能、残疾老年人专业照护为主的县级层面特困人员供养服务设施</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敬老院</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，力争所有街道至少建有一个具备综合功能的社区养老服务机构。</w:t>
      </w:r>
      <w:bookmarkStart w:id="64" w:name="_Toc13656622"/>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县民政局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40C4D4D3">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加快完善公共卫生服务体系，加快推进全县医疗卫生基础设施建设。增加政府对公共医疗资源的投入，不断满足人民</w:t>
      </w:r>
      <w:r>
        <w:rPr>
          <w:rFonts w:hint="eastAsia" w:ascii="Times New Roman" w:hAnsi="Times New Roman" w:eastAsia="仿宋_GB2312" w:cs="仿宋_GB2312"/>
          <w:color w:val="000000" w:themeColor="text1"/>
          <w:sz w:val="32"/>
          <w:szCs w:val="32"/>
          <w:shd w:val="clear" w:color="auto" w:fill="FFFFFF"/>
        </w:rPr>
        <w:t>群众对提高健康服务水平的需要，巩固扩大医改成果。扎实推进健康中国行动，全面提高全县人民健康水平。</w:t>
      </w:r>
      <w:r>
        <w:rPr>
          <w:rFonts w:hint="eastAsia" w:ascii="Times New Roman" w:hAnsi="Times New Roman" w:eastAsia="仿宋_GB2312" w:cs="仿宋_GB2312"/>
          <w:color w:val="000000" w:themeColor="text1"/>
          <w:sz w:val="32"/>
          <w:szCs w:val="32"/>
        </w:rPr>
        <w:t>深化疾病预防控制体系改革，强化基层公共卫生体系，创新医防协同机制，提升基层预防、治疗、护理、康复服务水平，毫不放松抓好常态化疫情防控。创建慢性病综合防控示范区。</w:t>
      </w:r>
      <w:r>
        <w:rPr>
          <w:rFonts w:hint="eastAsia" w:ascii="Times New Roman" w:hAnsi="Times New Roman" w:eastAsia="仿宋_GB2312" w:cs="仿宋_GB2312"/>
          <w:color w:val="000000" w:themeColor="text1"/>
          <w:sz w:val="32"/>
          <w:szCs w:val="32"/>
          <w:shd w:val="clear" w:color="auto" w:fill="FFFFFF"/>
        </w:rPr>
        <w:t>建立老年健康服务体系</w:t>
      </w:r>
      <w:r>
        <w:rPr>
          <w:rFonts w:hint="eastAsia" w:ascii="Times New Roman" w:hAnsi="Times New Roman" w:eastAsia="仿宋_GB2312" w:cs="仿宋_GB2312"/>
          <w:color w:val="000000" w:themeColor="text1"/>
          <w:sz w:val="32"/>
          <w:szCs w:val="32"/>
          <w:shd w:val="clear" w:color="auto" w:fill="FFFFFF"/>
          <w:lang w:eastAsia="zh-CN"/>
        </w:rPr>
        <w:t>，</w:t>
      </w:r>
      <w:r>
        <w:rPr>
          <w:rFonts w:hint="eastAsia" w:ascii="Times New Roman" w:hAnsi="Times New Roman" w:eastAsia="仿宋_GB2312" w:cs="仿宋_GB2312"/>
          <w:color w:val="000000" w:themeColor="text1"/>
          <w:sz w:val="32"/>
          <w:szCs w:val="32"/>
          <w:shd w:val="clear" w:color="auto" w:fill="FFFFFF"/>
        </w:rPr>
        <w:t>加快发展养老、康复、护理等接续性医疗机构，进一步优化综合性医院和中医医院科室设置，着力增强老年健康服务能力。加强突发事件应急体系建设</w:t>
      </w:r>
      <w:r>
        <w:rPr>
          <w:rFonts w:hint="eastAsia" w:ascii="Times New Roman" w:hAnsi="Times New Roman" w:eastAsia="仿宋_GB2312" w:cs="仿宋_GB2312"/>
          <w:color w:val="000000" w:themeColor="text1"/>
          <w:sz w:val="32"/>
          <w:szCs w:val="32"/>
          <w:shd w:val="clear" w:color="auto" w:fill="FFFFFF"/>
          <w:lang w:eastAsia="zh-CN"/>
        </w:rPr>
        <w:t>，</w:t>
      </w:r>
      <w:r>
        <w:rPr>
          <w:rFonts w:hint="eastAsia" w:ascii="Times New Roman" w:hAnsi="Times New Roman" w:eastAsia="仿宋_GB2312" w:cs="仿宋_GB2312"/>
          <w:color w:val="000000" w:themeColor="text1"/>
          <w:sz w:val="32"/>
          <w:szCs w:val="32"/>
          <w:shd w:val="clear" w:color="auto" w:fill="FFFFFF"/>
        </w:rPr>
        <w:t>推进卫生应急体系建设，全面提升突发急性传染病防控和突发事件紧急医学救援能力。加强院前医疗急救体系建设</w:t>
      </w:r>
      <w:r>
        <w:rPr>
          <w:rFonts w:hint="eastAsia" w:ascii="Times New Roman" w:hAnsi="Times New Roman" w:eastAsia="仿宋_GB2312" w:cs="仿宋_GB2312"/>
          <w:color w:val="000000" w:themeColor="text1"/>
          <w:sz w:val="32"/>
          <w:szCs w:val="32"/>
          <w:shd w:val="clear" w:color="auto" w:fill="FFFFFF"/>
          <w:lang w:eastAsia="zh-CN"/>
        </w:rPr>
        <w:t>，</w:t>
      </w:r>
      <w:r>
        <w:rPr>
          <w:rFonts w:hint="eastAsia" w:ascii="Times New Roman" w:hAnsi="Times New Roman" w:eastAsia="仿宋_GB2312" w:cs="仿宋_GB2312"/>
          <w:color w:val="000000" w:themeColor="text1"/>
          <w:sz w:val="32"/>
          <w:szCs w:val="32"/>
          <w:shd w:val="clear" w:color="auto" w:fill="FFFFFF"/>
        </w:rPr>
        <w:t>提升120急救指挥中心能力，确保院前医疗急救保障制度和运行机制基本健全。加强医院服务能力建设</w:t>
      </w:r>
      <w:r>
        <w:rPr>
          <w:rFonts w:hint="eastAsia" w:ascii="Times New Roman" w:hAnsi="Times New Roman" w:eastAsia="仿宋_GB2312" w:cs="仿宋_GB2312"/>
          <w:color w:val="000000" w:themeColor="text1"/>
          <w:sz w:val="32"/>
          <w:szCs w:val="32"/>
          <w:shd w:val="clear" w:color="auto" w:fill="FFFFFF"/>
          <w:lang w:eastAsia="zh-CN"/>
        </w:rPr>
        <w:t>，</w:t>
      </w:r>
      <w:r>
        <w:rPr>
          <w:rFonts w:hint="eastAsia" w:ascii="Times New Roman" w:hAnsi="Times New Roman" w:eastAsia="仿宋_GB2312" w:cs="仿宋_GB2312"/>
          <w:color w:val="000000" w:themeColor="text1"/>
          <w:sz w:val="32"/>
          <w:szCs w:val="32"/>
          <w:shd w:val="clear" w:color="auto" w:fill="FFFFFF"/>
        </w:rPr>
        <w:t>重点打造县人民医院建成三级甲等医院及分院建设</w:t>
      </w:r>
      <w:r>
        <w:rPr>
          <w:rFonts w:hint="eastAsia" w:ascii="Times New Roman" w:hAnsi="Times New Roman" w:eastAsia="仿宋_GB2312" w:cs="仿宋_GB2312"/>
          <w:color w:val="000000" w:themeColor="text1"/>
          <w:sz w:val="32"/>
          <w:szCs w:val="32"/>
          <w:shd w:val="clear" w:color="auto" w:fill="FFFFFF"/>
          <w:lang w:eastAsia="zh-CN"/>
        </w:rPr>
        <w:t>，</w:t>
      </w:r>
      <w:r>
        <w:rPr>
          <w:rFonts w:hint="eastAsia" w:ascii="Times New Roman" w:hAnsi="Times New Roman" w:eastAsia="仿宋_GB2312" w:cs="仿宋_GB2312"/>
          <w:color w:val="000000" w:themeColor="text1"/>
          <w:sz w:val="32"/>
          <w:szCs w:val="32"/>
          <w:shd w:val="clear" w:color="auto" w:fill="FFFFFF"/>
        </w:rPr>
        <w:t>完成全州县精神病医院建设，新建中医医院康复大楼及医养服务中心大楼，新建疾控中心业务用房及实验大楼，完善保健院业务楼建设，加强卫生监督信息平台及培训基地建设，强化中心卫生院建设，继续完善乡镇卫生院基础建设改造提升及绿化，继续做好城西社区卫生服务中心建设，进一步提升县人民医院、县中医院和县妇幼保健院服务能力，加快推进卒中、创伤急救、胸痛等中心建设，重点提升儿童、重症医学、母婴危重救治、康复、精神病等医疗服务水平。全面深化医药卫生体制改革</w:t>
      </w:r>
      <w:r>
        <w:rPr>
          <w:rFonts w:hint="eastAsia" w:ascii="Times New Roman" w:hAnsi="Times New Roman" w:eastAsia="仿宋_GB2312" w:cs="仿宋_GB2312"/>
          <w:color w:val="000000" w:themeColor="text1"/>
          <w:sz w:val="32"/>
          <w:szCs w:val="32"/>
          <w:shd w:val="clear" w:color="auto" w:fill="FFFFFF"/>
          <w:lang w:eastAsia="zh-CN"/>
        </w:rPr>
        <w:t>，</w:t>
      </w:r>
      <w:r>
        <w:rPr>
          <w:rFonts w:hint="eastAsia" w:ascii="Times New Roman" w:hAnsi="Times New Roman" w:eastAsia="仿宋_GB2312" w:cs="仿宋_GB2312"/>
          <w:color w:val="000000" w:themeColor="text1"/>
          <w:sz w:val="32"/>
          <w:szCs w:val="32"/>
          <w:shd w:val="clear" w:color="auto" w:fill="FFFFFF"/>
        </w:rPr>
        <w:t>完善信息化建设、人才培养、医保支付制度、医疗服务价格和财政投入等政策措施，有效落实分级诊疗制度。深化药品全流程改革，巩固完善基本药物制度，完善药品集中采购政策措施，加快建立规范有序的药品供应保障制度。推进中医药健康服务发展</w:t>
      </w:r>
      <w:r>
        <w:rPr>
          <w:rFonts w:hint="eastAsia" w:ascii="Times New Roman" w:hAnsi="Times New Roman" w:eastAsia="仿宋_GB2312" w:cs="仿宋_GB2312"/>
          <w:color w:val="000000" w:themeColor="text1"/>
          <w:sz w:val="32"/>
          <w:szCs w:val="32"/>
          <w:shd w:val="clear" w:color="auto" w:fill="FFFFFF"/>
          <w:lang w:eastAsia="zh-CN"/>
        </w:rPr>
        <w:t>，</w:t>
      </w:r>
      <w:r>
        <w:rPr>
          <w:rFonts w:hint="eastAsia" w:ascii="Times New Roman" w:hAnsi="Times New Roman" w:eastAsia="仿宋_GB2312" w:cs="仿宋_GB2312"/>
          <w:color w:val="000000" w:themeColor="text1"/>
          <w:sz w:val="32"/>
          <w:szCs w:val="32"/>
          <w:shd w:val="clear" w:color="auto" w:fill="FFFFFF"/>
        </w:rPr>
        <w:t>围绕实施中医药强县战略，加强中医药传承创新，加快中医药产业发展，加强中医药人才队伍建设。加强中药资源保护，支持中药材种植标准化、规模化、专业化、区域化生产，提升中药产业发展水平。发挥中医药的优势特色，逐步将中医“治未病”纳入基层健康医疗服务范围。深入推进“互联网+医疗健康”发展，完善分级诊疗管理信息系统，</w:t>
      </w:r>
      <w:r>
        <w:rPr>
          <w:rFonts w:ascii="Times New Roman" w:hAnsi="Times New Roman" w:eastAsia="仿宋_GB2312" w:cs="仿宋_GB2312"/>
          <w:color w:val="000000" w:themeColor="text1"/>
          <w:sz w:val="32"/>
          <w:szCs w:val="32"/>
          <w:shd w:val="clear" w:color="auto" w:fill="FFFFFF"/>
        </w:rPr>
        <w:t>建立</w:t>
      </w:r>
      <w:r>
        <w:rPr>
          <w:rFonts w:hint="eastAsia" w:ascii="Times New Roman" w:hAnsi="Times New Roman" w:eastAsia="仿宋_GB2312" w:cs="仿宋_GB2312"/>
          <w:color w:val="000000" w:themeColor="text1"/>
          <w:sz w:val="32"/>
          <w:szCs w:val="32"/>
          <w:shd w:val="clear" w:color="auto" w:fill="FFFFFF"/>
        </w:rPr>
        <w:t>远程医疗服务，完成县域医共体内四大中心的建设</w:t>
      </w:r>
      <w:r>
        <w:rPr>
          <w:rFonts w:hint="eastAsia" w:ascii="Times New Roman" w:hAnsi="Times New Roman" w:eastAsia="仿宋_GB2312" w:cs="仿宋_GB2312"/>
          <w:color w:val="000000" w:themeColor="text1"/>
          <w:sz w:val="32"/>
          <w:szCs w:val="32"/>
          <w:shd w:val="clear" w:color="auto" w:fill="FFFFFF"/>
          <w:lang w:eastAsia="zh-CN"/>
        </w:rPr>
        <w:t>，</w:t>
      </w:r>
      <w:r>
        <w:rPr>
          <w:rFonts w:hint="eastAsia" w:ascii="Times New Roman" w:hAnsi="Times New Roman" w:eastAsia="仿宋_GB2312" w:cs="仿宋_GB2312"/>
          <w:color w:val="000000" w:themeColor="text1"/>
          <w:sz w:val="32"/>
          <w:szCs w:val="32"/>
          <w:shd w:val="clear" w:color="auto" w:fill="FFFFFF"/>
        </w:rPr>
        <w:t>实现健康医疗数据资源共享、业务协同，健全全县职业病防治体系信息化建设。加快计生服务机构建设，提高计划生育服务水平，尽快实施自主生育政策，以扭转人口快速老</w:t>
      </w:r>
      <w:r>
        <w:rPr>
          <w:rFonts w:hint="eastAsia" w:ascii="Times New Roman" w:hAnsi="Times New Roman" w:eastAsia="宋体" w:cs="宋体"/>
          <w:color w:val="000000" w:themeColor="text1"/>
          <w:sz w:val="32"/>
          <w:szCs w:val="32"/>
          <w:shd w:val="clear" w:color="auto" w:fill="FFFFFF"/>
        </w:rPr>
        <w:t>齡</w:t>
      </w:r>
      <w:r>
        <w:rPr>
          <w:rFonts w:hint="eastAsia" w:ascii="Times New Roman" w:hAnsi="Times New Roman" w:eastAsia="仿宋_GB2312" w:cs="仿宋_GB2312"/>
          <w:color w:val="000000" w:themeColor="text1"/>
          <w:sz w:val="32"/>
          <w:szCs w:val="32"/>
          <w:shd w:val="clear" w:color="auto" w:fill="FFFFFF"/>
        </w:rPr>
        <w:t>化带来的国家人口结构失衡问题。按照国家统一要</w:t>
      </w:r>
      <w:r>
        <w:rPr>
          <w:rFonts w:hint="eastAsia" w:ascii="Times New Roman" w:hAnsi="Times New Roman" w:eastAsia="仿宋_GB2312" w:cs="宋体"/>
          <w:kern w:val="0"/>
          <w:sz w:val="32"/>
          <w:szCs w:val="32"/>
        </w:rPr>
        <w:t>求对标调整本地指标，到“十四五”末期千人口托位数原则上不得少于4.5个。</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县卫生健康局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县财政局</w:t>
      </w:r>
      <w:r>
        <w:rPr>
          <w:rFonts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县医保局</w:t>
      </w:r>
      <w:r>
        <w:rPr>
          <w:rFonts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县人力资源社会保障局</w:t>
      </w:r>
      <w:r>
        <w:rPr>
          <w:rFonts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县委编办</w:t>
      </w:r>
      <w:r>
        <w:rPr>
          <w:rFonts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县工业和信息化局</w:t>
      </w:r>
      <w:r>
        <w:rPr>
          <w:rFonts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县市场监管局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5B414779">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加快非公医疗机构发展，鼓励发展中医诊所。加强医</w:t>
      </w:r>
      <w:r>
        <w:rPr>
          <w:rFonts w:hint="eastAsia" w:ascii="Times New Roman" w:hAnsi="Times New Roman" w:eastAsia="仿宋_GB2312" w:cs="仿宋_GB2312"/>
          <w:color w:val="000000" w:themeColor="text1"/>
          <w:sz w:val="32"/>
          <w:szCs w:val="32"/>
          <w:shd w:val="clear" w:color="auto" w:fill="FFFFFF"/>
        </w:rPr>
        <w:t>疗卫生人才队伍建设，加快推进县级公立医院聘用人员控制数核定工作保障卫生从业人员合理待遇，提高薪酬吸引力，解决人才外流及人才难引进的难题，重点加强农村卫生、公共卫生专业技术人员和护理人员的培养，通</w:t>
      </w:r>
      <w:r>
        <w:rPr>
          <w:rFonts w:hint="eastAsia" w:ascii="Times New Roman" w:hAnsi="Times New Roman" w:eastAsia="仿宋_GB2312" w:cs="宋体"/>
          <w:kern w:val="0"/>
          <w:sz w:val="32"/>
          <w:szCs w:val="32"/>
        </w:rPr>
        <w:t>过专业进修、培训、交流学习等方式提高卫生从业人员的专业水平。</w:t>
      </w:r>
      <w:bookmarkEnd w:id="64"/>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县卫生健康局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166A3A71">
      <w:pPr>
        <w:pStyle w:val="27"/>
        <w:rPr>
          <w:rFonts w:ascii="Times New Roman" w:hAnsi="Times New Roman"/>
          <w:sz w:val="21"/>
          <w:szCs w:val="21"/>
        </w:rPr>
      </w:pPr>
    </w:p>
    <w:p w14:paraId="64580E20">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65" w:name="_Toc8831"/>
      <w:r>
        <w:rPr>
          <w:rStyle w:val="20"/>
          <w:rFonts w:hint="eastAsia" w:ascii="Times New Roman" w:hAnsi="Times New Roman" w:eastAsia="楷体_GB2312" w:cs="楷体_GB2312"/>
          <w:b w:val="0"/>
          <w:bCs w:val="0"/>
          <w:kern w:val="0"/>
          <w:sz w:val="32"/>
          <w:szCs w:val="32"/>
        </w:rPr>
        <w:t>第四节  完善城乡社会保障体系</w:t>
      </w:r>
      <w:bookmarkEnd w:id="65"/>
    </w:p>
    <w:p w14:paraId="1617152E">
      <w:pPr>
        <w:overflowPunct w:val="0"/>
        <w:autoSpaceDE w:val="0"/>
        <w:autoSpaceDN w:val="0"/>
        <w:adjustRightInd w:val="0"/>
        <w:snapToGrid w:val="0"/>
        <w:spacing w:line="360" w:lineRule="auto"/>
        <w:rPr>
          <w:rFonts w:ascii="Times New Roman" w:hAnsi="Times New Roman" w:eastAsia="仿宋_GB2312" w:cs="仿宋_GB2312"/>
          <w:bCs/>
          <w:kern w:val="0"/>
          <w:szCs w:val="21"/>
        </w:rPr>
      </w:pPr>
    </w:p>
    <w:p w14:paraId="2A3ED491">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bCs/>
          <w:kern w:val="0"/>
          <w:sz w:val="32"/>
          <w:szCs w:val="32"/>
        </w:rPr>
        <w:t>提升社会保障和安全能力。按照兜底线、织密网、建机制要求，全面建成城乡居民全覆盖、权责清、可持续、多层次社会保障体系。</w:t>
      </w:r>
      <w:r>
        <w:rPr>
          <w:rFonts w:hint="eastAsia" w:ascii="Times New Roman" w:hAnsi="Times New Roman" w:eastAsia="仿宋_GB2312" w:cs="仿宋_GB2312"/>
          <w:sz w:val="32"/>
          <w:szCs w:val="32"/>
          <w:shd w:val="clear" w:color="auto" w:fill="FFFFFF"/>
        </w:rPr>
        <w:t>重点做好</w:t>
      </w:r>
      <w:r>
        <w:rPr>
          <w:rFonts w:ascii="Times New Roman" w:hAnsi="Times New Roman" w:eastAsia="仿宋_GB2312" w:cs="仿宋_GB2312"/>
          <w:sz w:val="32"/>
          <w:szCs w:val="32"/>
          <w:shd w:val="clear" w:color="auto" w:fill="FFFFFF"/>
        </w:rPr>
        <w:t>企业扩面参保</w:t>
      </w:r>
      <w:r>
        <w:rPr>
          <w:rFonts w:hint="eastAsia" w:ascii="Times New Roman" w:hAnsi="Times New Roman" w:eastAsia="仿宋_GB2312" w:cs="仿宋_GB2312"/>
          <w:sz w:val="32"/>
          <w:szCs w:val="32"/>
          <w:shd w:val="clear" w:color="auto" w:fill="FFFFFF"/>
        </w:rPr>
        <w:t>、失地农民参保、</w:t>
      </w:r>
      <w:r>
        <w:rPr>
          <w:rFonts w:hint="eastAsia" w:ascii="Times New Roman" w:hAnsi="Times New Roman" w:eastAsia="仿宋_GB2312" w:cs="仿宋_GB2312"/>
          <w:sz w:val="32"/>
          <w:szCs w:val="32"/>
        </w:rPr>
        <w:t>落实失业保险，</w:t>
      </w:r>
      <w:r>
        <w:rPr>
          <w:rFonts w:hint="eastAsia" w:ascii="Times New Roman" w:hAnsi="Times New Roman" w:eastAsia="仿宋_GB2312" w:cs="仿宋_GB2312"/>
          <w:kern w:val="0"/>
          <w:sz w:val="32"/>
          <w:szCs w:val="32"/>
        </w:rPr>
        <w:t>稳步提高城乡居民养老保险覆盖率和保</w:t>
      </w:r>
      <w:r>
        <w:rPr>
          <w:rFonts w:hint="eastAsia" w:ascii="Times New Roman" w:hAnsi="Times New Roman" w:eastAsia="仿宋_GB2312" w:cs="宋体"/>
          <w:kern w:val="0"/>
          <w:sz w:val="32"/>
          <w:szCs w:val="32"/>
        </w:rPr>
        <w:t>障水平，积极推进机关事业单位工作人员养老保险制度改革，实现全民参保。</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县人力资源社会保障局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0EF9B2CC">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kern w:val="0"/>
          <w:sz w:val="32"/>
          <w:szCs w:val="32"/>
        </w:rPr>
        <w:t>推进社会基本医疗保险与商业健康保险共促互补。</w:t>
      </w:r>
      <w:r>
        <w:rPr>
          <w:rFonts w:hint="eastAsia" w:ascii="Times New Roman" w:hAnsi="Times New Roman" w:eastAsia="仿宋_GB2312" w:cs="宋体"/>
          <w:kern w:val="0"/>
          <w:sz w:val="32"/>
          <w:szCs w:val="32"/>
        </w:rPr>
        <w:t>整合城乡居民基本医疗保险制度，完善城乡医疗保险关系转移办法，实现农村合作医疗、城镇居民医疗保险和城镇职工医疗保险的有效衔接。全面推进医保付费方式改革，全面实行大病保险制度，促进基本医保和商业健康保险相互补充和衔接发展。完善医疗保险制度，逐步提高医疗保险待遇。</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县卫生健康局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055BD2C4">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强化社会救助制度，完善以低保为核心的社会救助制度，全面实施临时救助制度，推进并加强重大疾病医疗救助等专项救助制度建设。</w:t>
      </w:r>
      <w:r>
        <w:rPr>
          <w:rFonts w:hint="eastAsia" w:ascii="Times New Roman" w:hAnsi="Times New Roman" w:eastAsia="仿宋_GB2312" w:cs="仿宋_GB2312"/>
          <w:sz w:val="32"/>
          <w:szCs w:val="32"/>
          <w:shd w:val="clear" w:color="auto" w:fill="FFFFFF"/>
        </w:rPr>
        <w:t>加快完善城乡医疗救助、大病救助和临时救助制度，建设残疾人康复服务中心，</w:t>
      </w:r>
      <w:r>
        <w:rPr>
          <w:rFonts w:hint="eastAsia" w:ascii="Times New Roman" w:hAnsi="Times New Roman" w:eastAsia="仿宋_GB2312" w:cs="宋体"/>
          <w:kern w:val="0"/>
          <w:sz w:val="32"/>
          <w:szCs w:val="32"/>
        </w:rPr>
        <w:t>完善残疾人社会保障和服务体系，加大困难群体帮扶救助力度，逐步提高城乡居民最低生活保障标准，持续提升社会救助水平。</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县民政局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各乡（镇）人民政府〕</w:t>
      </w:r>
    </w:p>
    <w:p w14:paraId="3C73D477">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推进区域性工伤康复平台建设，开展补充工伤保险试点。提高失业保险覆盖率和统筹层次，充分发挥失业保险对保障失业人员生活和促进就业的积极作用。</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县人力资源社会保障局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县卫生健康局</w:t>
      </w:r>
      <w:r>
        <w:rPr>
          <w:rFonts w:ascii="Times New Roman" w:hAnsi="Times New Roman" w:eastAsia="仿宋_GB2312" w:cs="宋体"/>
          <w:kern w:val="0"/>
          <w:sz w:val="32"/>
          <w:szCs w:val="32"/>
        </w:rPr>
        <w:t>）</w:t>
      </w:r>
    </w:p>
    <w:p w14:paraId="0F2E76CE">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积极推进被征地农民社会保障工作，探索农村土地承包经营权置换社会保障的新模式。稳步提高城乡居民养老保险覆盖率和保障水平。</w:t>
      </w:r>
      <w:r>
        <w:rPr>
          <w:rFonts w:hint="eastAsia" w:ascii="Times New Roman" w:hAnsi="Times New Roman" w:eastAsia="仿宋_GB2312" w:cs="仿宋_GB2312"/>
          <w:kern w:val="0"/>
          <w:sz w:val="32"/>
          <w:szCs w:val="32"/>
        </w:rPr>
        <w:t>继续</w:t>
      </w:r>
      <w:r>
        <w:rPr>
          <w:rFonts w:hint="eastAsia" w:ascii="Times New Roman" w:hAnsi="Times New Roman" w:eastAsia="仿宋_GB2312" w:cs="仿宋_GB2312"/>
          <w:sz w:val="32"/>
          <w:szCs w:val="32"/>
        </w:rPr>
        <w:t>加快保障性安居工程建</w:t>
      </w:r>
      <w:r>
        <w:rPr>
          <w:rFonts w:hint="eastAsia" w:ascii="Times New Roman" w:hAnsi="Times New Roman" w:eastAsia="仿宋_GB2312" w:cs="宋体"/>
          <w:kern w:val="0"/>
          <w:sz w:val="32"/>
          <w:szCs w:val="32"/>
        </w:rPr>
        <w:t>设。</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县人力资源社会保障局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县住房城乡建设局</w:t>
      </w:r>
      <w:r>
        <w:rPr>
          <w:rFonts w:ascii="Times New Roman" w:hAnsi="Times New Roman" w:eastAsia="仿宋_GB2312" w:cs="宋体"/>
          <w:kern w:val="0"/>
          <w:sz w:val="32"/>
          <w:szCs w:val="32"/>
        </w:rPr>
        <w:t>）</w:t>
      </w:r>
    </w:p>
    <w:p w14:paraId="1CCD54C0">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全力支持国防和军队现代化建设。全面落实军事政策制度改革有关法律法规，聚力完善国防动员体系，推进国防动员体系，推进国防动员体制和兵役制度改革落实，巩固深化民兵调整改革成果，加强人民武装部正规化建设。加强军民融合，做好拥军优属拥政爱民工作，健全退役军人工作体系和保障制度，争创“双拥”模范县。做好退役军人移交安置、优待抚恤、褒扬纪念和后续服务工作，加大教育培训力度，推进就业创业工作；加快退役军人服务设施建设，完善退役军人服务保障体系建设，做好退役军人保障工作。统筹规划建设革命烈士纪念设施，加强烈士纪念设施的管理维护。</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县人武部</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县民政局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县退役军人事务局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5FA12401">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kern w:val="0"/>
          <w:sz w:val="32"/>
          <w:szCs w:val="32"/>
        </w:rPr>
        <w:t>建立健全立体化治安防控体系，坚决预防和杜绝各类重特大安全事故发生。加强防灾减灾和应急能力建设。创新监管手段，确保食品药品安全。加强网络信息安全管理，依法打击网络违法犯罪。大力推行并完善法律援助便民服务</w:t>
      </w:r>
      <w:r>
        <w:rPr>
          <w:rFonts w:hint="eastAsia" w:ascii="Times New Roman" w:hAnsi="Times New Roman" w:eastAsia="仿宋_GB2312" w:cs="宋体"/>
          <w:kern w:val="0"/>
          <w:sz w:val="32"/>
          <w:szCs w:val="32"/>
        </w:rPr>
        <w:t>措施，积极推进法治全州、平安全州建设。</w:t>
      </w:r>
      <w:bookmarkStart w:id="66" w:name="_Toc25769"/>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县公安局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县应急局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县市场监管局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4E6E38E8">
      <w:pPr>
        <w:overflowPunct w:val="0"/>
        <w:autoSpaceDE w:val="0"/>
        <w:autoSpaceDN w:val="0"/>
        <w:adjustRightInd w:val="0"/>
        <w:snapToGrid w:val="0"/>
        <w:spacing w:line="360" w:lineRule="auto"/>
        <w:rPr>
          <w:rStyle w:val="20"/>
          <w:rFonts w:ascii="Times New Roman" w:hAnsi="Times New Roman" w:eastAsia="宋体" w:cs="宋体"/>
          <w:b/>
          <w:bCs/>
          <w:kern w:val="0"/>
          <w:szCs w:val="21"/>
        </w:rPr>
      </w:pPr>
      <w:bookmarkStart w:id="67" w:name="_Toc27799"/>
      <w:bookmarkStart w:id="68" w:name="_Toc26519"/>
    </w:p>
    <w:p w14:paraId="1D0D714E">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69" w:name="_Toc822"/>
      <w:r>
        <w:rPr>
          <w:rStyle w:val="20"/>
          <w:rFonts w:hint="eastAsia" w:ascii="Times New Roman" w:hAnsi="Times New Roman" w:eastAsia="楷体_GB2312" w:cs="楷体_GB2312"/>
          <w:b w:val="0"/>
          <w:bCs w:val="0"/>
          <w:kern w:val="0"/>
          <w:sz w:val="32"/>
          <w:szCs w:val="32"/>
        </w:rPr>
        <w:t xml:space="preserve">第五节 </w:t>
      </w:r>
      <w:bookmarkEnd w:id="67"/>
      <w:r>
        <w:rPr>
          <w:rStyle w:val="20"/>
          <w:rFonts w:hint="eastAsia" w:ascii="Times New Roman" w:hAnsi="Times New Roman" w:eastAsia="楷体_GB2312" w:cs="楷体_GB2312"/>
          <w:b w:val="0"/>
          <w:bCs w:val="0"/>
          <w:kern w:val="0"/>
          <w:sz w:val="32"/>
          <w:szCs w:val="32"/>
        </w:rPr>
        <w:t>加快提升公共服务水平</w:t>
      </w:r>
      <w:bookmarkEnd w:id="68"/>
      <w:bookmarkEnd w:id="69"/>
    </w:p>
    <w:p w14:paraId="3C7C6F21">
      <w:pPr>
        <w:overflowPunct w:val="0"/>
        <w:autoSpaceDE w:val="0"/>
        <w:autoSpaceDN w:val="0"/>
        <w:adjustRightInd w:val="0"/>
        <w:snapToGrid w:val="0"/>
        <w:spacing w:line="360" w:lineRule="auto"/>
        <w:ind w:firstLine="396" w:firstLineChars="200"/>
        <w:rPr>
          <w:rFonts w:ascii="Times New Roman" w:hAnsi="Times New Roman" w:eastAsia="仿宋_GB2312" w:cs="宋体"/>
          <w:b/>
          <w:bCs/>
          <w:kern w:val="0"/>
          <w:szCs w:val="21"/>
        </w:rPr>
      </w:pPr>
    </w:p>
    <w:p w14:paraId="16249964">
      <w:pPr>
        <w:pStyle w:val="16"/>
        <w:overflowPunct w:val="0"/>
        <w:autoSpaceDE w:val="0"/>
        <w:autoSpaceDN w:val="0"/>
        <w:adjustRightInd w:val="0"/>
        <w:snapToGrid w:val="0"/>
        <w:spacing w:after="0" w:line="360" w:lineRule="auto"/>
        <w:ind w:firstLine="614"/>
        <w:rPr>
          <w:rFonts w:ascii="Times New Roman" w:hAnsi="Times New Roman" w:eastAsia="仿宋_GB2312" w:cs="宋体"/>
          <w:kern w:val="0"/>
          <w:sz w:val="32"/>
          <w:szCs w:val="32"/>
          <w:lang w:val="en-US" w:eastAsia="zh-CN" w:bidi="ar-SA"/>
        </w:rPr>
      </w:pPr>
      <w:r>
        <w:rPr>
          <w:rFonts w:hint="eastAsia" w:ascii="Times New Roman" w:hAnsi="Times New Roman" w:eastAsia="仿宋_GB2312" w:cs="仿宋_GB2312"/>
          <w:kern w:val="0"/>
          <w:sz w:val="32"/>
          <w:szCs w:val="32"/>
        </w:rPr>
        <w:t>改善城乡居民人文环境，加强城乡文化基础设施建设，逐步形成覆盖城乡的公共文化服务体系。大力发展全民文化体育事业，</w:t>
      </w:r>
      <w:r>
        <w:rPr>
          <w:rFonts w:hint="eastAsia" w:ascii="Times New Roman" w:hAnsi="Times New Roman" w:eastAsia="仿宋_GB2312" w:cs="宋体"/>
          <w:kern w:val="0"/>
          <w:sz w:val="32"/>
          <w:szCs w:val="32"/>
        </w:rPr>
        <w:t>加强公共文体设施建设，合理规划建设体育场馆，加快完善群众性体育活动设施，提升人民身体素质和健康水平；</w:t>
      </w:r>
      <w:r>
        <w:rPr>
          <w:rFonts w:hint="eastAsia" w:ascii="Times New Roman" w:hAnsi="Times New Roman" w:eastAsia="仿宋_GB2312" w:cs="仿宋_GB2312"/>
          <w:kern w:val="0"/>
          <w:sz w:val="32"/>
          <w:szCs w:val="32"/>
        </w:rPr>
        <w:t>加快“四馆一中心”建设（体育馆、图书馆、文化馆、博物馆、非物质文化遗产保护中心）、乡镇（街道）综合文化站提升，继续开展村级公共服务中心、数字农家书屋建设。完善公共体育运动设施，提升人民身体健康素质，规划建设全州县全民健身中心、健身步道、全州县体育休闲公园；加大公共文化财政投入，健全公共文化服务体系，加快推进重点文化惠民工程和农村文化建设，加大文物保护和非物质文化遗产挖掘、保护和研究力度，免费开放“四馆一中心”</w:t>
      </w:r>
      <w:r>
        <w:rPr>
          <w:rFonts w:hint="eastAsia" w:ascii="Times New Roman" w:hAnsi="Times New Roman" w:eastAsia="仿宋_GB2312" w:cs="仿宋_GB2312"/>
          <w:bCs/>
          <w:sz w:val="32"/>
          <w:szCs w:val="32"/>
        </w:rPr>
        <w:t>。</w:t>
      </w:r>
      <w:r>
        <w:rPr>
          <w:rFonts w:hint="eastAsia" w:ascii="Times New Roman" w:hAnsi="Times New Roman" w:eastAsia="仿宋_GB2312" w:cs="宋体"/>
          <w:kern w:val="0"/>
          <w:sz w:val="32"/>
          <w:szCs w:val="32"/>
        </w:rPr>
        <w:t>所有行政村修建标准化村级文化广场，完善村级文化活动室，改善城乡居民人文环境，努力促进基本公共文化体育事业服务标准化、均等化。加强城乡文化基础设施建设，逐步形成覆盖城乡的公共文化服务体系。加强档案工作，全面推进档案治理体系、资源体系、利用体系、安全体系建设，强化科技和人才支撑，不断推进档案事业高质量发展。规划建设县老干部活动中心、县青少</w:t>
      </w:r>
      <w:r>
        <w:rPr>
          <w:rFonts w:hint="eastAsia" w:ascii="Times New Roman" w:hAnsi="Times New Roman" w:eastAsia="仿宋_GB2312" w:cs="仿宋_GB2312"/>
          <w:kern w:val="0"/>
          <w:sz w:val="32"/>
          <w:szCs w:val="32"/>
        </w:rPr>
        <w:t>年活动中心、县妇女儿童年活动中心、残疾</w:t>
      </w:r>
      <w:r>
        <w:rPr>
          <w:rFonts w:hint="eastAsia" w:ascii="Times New Roman" w:hAnsi="Times New Roman" w:eastAsia="仿宋_GB2312" w:cs="宋体"/>
          <w:kern w:val="0"/>
          <w:sz w:val="32"/>
          <w:szCs w:val="32"/>
          <w:lang w:val="en-US" w:eastAsia="zh-CN" w:bidi="ar-SA"/>
        </w:rPr>
        <w:t>人康复中心、县退役军人服务中心、县殡仪服务中心、县殡仪馆。</w:t>
      </w:r>
      <w:bookmarkStart w:id="70" w:name="_Toc30917"/>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en-US" w:eastAsia="zh-CN" w:bidi="ar-SA"/>
        </w:rPr>
        <w:t>县文化广电体育和旅游局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县住房城乡建设局、县民政局、县退役军人事务局、县残联、各乡（镇）人民政府〕</w:t>
      </w:r>
    </w:p>
    <w:p w14:paraId="0D94A325">
      <w:pPr>
        <w:pStyle w:val="16"/>
        <w:overflowPunct w:val="0"/>
        <w:autoSpaceDE w:val="0"/>
        <w:autoSpaceDN w:val="0"/>
        <w:adjustRightInd w:val="0"/>
        <w:snapToGrid w:val="0"/>
        <w:spacing w:after="0" w:line="360" w:lineRule="auto"/>
        <w:ind w:firstLine="394"/>
        <w:rPr>
          <w:rFonts w:hint="eastAsia" w:ascii="Times New Roman" w:hAnsi="Times New Roman" w:eastAsia="楷体_GB2312" w:cs="楷体_GB2312"/>
          <w:b w:val="0"/>
          <w:bCs w:val="0"/>
          <w:kern w:val="0"/>
          <w:sz w:val="32"/>
          <w:szCs w:val="32"/>
        </w:rPr>
      </w:pPr>
    </w:p>
    <w:p w14:paraId="6427AE97">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71" w:name="_Toc31514"/>
      <w:r>
        <w:rPr>
          <w:rStyle w:val="20"/>
          <w:rFonts w:hint="eastAsia" w:ascii="Times New Roman" w:hAnsi="Times New Roman" w:eastAsia="楷体_GB2312" w:cs="楷体_GB2312"/>
          <w:b w:val="0"/>
          <w:bCs w:val="0"/>
          <w:kern w:val="0"/>
          <w:sz w:val="32"/>
          <w:szCs w:val="32"/>
        </w:rPr>
        <w:t>第六节  共建和谐社会新秩序</w:t>
      </w:r>
      <w:bookmarkEnd w:id="70"/>
      <w:bookmarkEnd w:id="71"/>
    </w:p>
    <w:p w14:paraId="66CDCF86">
      <w:pPr>
        <w:overflowPunct w:val="0"/>
        <w:autoSpaceDE w:val="0"/>
        <w:autoSpaceDN w:val="0"/>
        <w:adjustRightInd w:val="0"/>
        <w:snapToGrid w:val="0"/>
        <w:spacing w:line="360" w:lineRule="auto"/>
        <w:ind w:firstLine="396" w:firstLineChars="200"/>
        <w:rPr>
          <w:rFonts w:ascii="Times New Roman" w:hAnsi="Times New Roman" w:eastAsia="仿宋_GB2312" w:cs="宋体"/>
          <w:kern w:val="0"/>
          <w:szCs w:val="21"/>
        </w:rPr>
      </w:pPr>
    </w:p>
    <w:p w14:paraId="1A5DB183">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规范经济社会秩序。大力推进平安全州建设，做好信访维稳、社会治安、交通安全、公共安全、消防安全、应急管理、安全生产等工作，确保社会稳定。加大执法行动，严厉打击销售假冒伪劣农资违法行为，加强食品药品安全监管，严厉打击非法食品添加剂行为及假药，切实维护农民及消费者切身利益。整顿市场价格，制止不正当竞争，打破行业垄断和价格垄断，努力营造诚实守信、公平有序的市场环境。严厉打击乱砍</w:t>
      </w:r>
      <w:r>
        <w:rPr>
          <w:rFonts w:hint="eastAsia" w:ascii="Times New Roman" w:hAnsi="Times New Roman" w:eastAsia="仿宋_GB2312" w:cs="宋体"/>
          <w:kern w:val="0"/>
          <w:sz w:val="32"/>
          <w:szCs w:val="32"/>
          <w:lang w:val="en-US" w:eastAsia="zh-CN"/>
        </w:rPr>
        <w:t>滥</w:t>
      </w:r>
      <w:r>
        <w:rPr>
          <w:rFonts w:hint="eastAsia" w:ascii="Times New Roman" w:hAnsi="Times New Roman" w:eastAsia="仿宋_GB2312" w:cs="宋体"/>
          <w:kern w:val="0"/>
          <w:sz w:val="32"/>
          <w:szCs w:val="32"/>
        </w:rPr>
        <w:t>伐行为，保护生态环境。严厉打击邪教组织。规范商标、专利的保护和使用。加强应急救援工作，建设乡镇</w:t>
      </w:r>
      <w:r>
        <w:rPr>
          <w:rFonts w:hint="eastAsia" w:ascii="Times New Roman" w:hAnsi="Times New Roman" w:eastAsia="仿宋_GB2312" w:cs="仿宋_GB2312"/>
          <w:kern w:val="0"/>
          <w:sz w:val="32"/>
          <w:szCs w:val="32"/>
        </w:rPr>
        <w:t>（街道）</w:t>
      </w:r>
      <w:r>
        <w:rPr>
          <w:rFonts w:hint="eastAsia" w:ascii="Times New Roman" w:hAnsi="Times New Roman" w:eastAsia="仿宋_GB2312" w:cs="宋体"/>
          <w:kern w:val="0"/>
          <w:sz w:val="32"/>
          <w:szCs w:val="32"/>
        </w:rPr>
        <w:t>消防机构，提升消防快速反应和应急救援能力，牢固树立安全发展观念，完善和落实安全生产责任和管理制度，建立健全党政同责、一岗双责、失职追责的安全生产责任体系，落实企业安全生产主体责任。</w:t>
      </w:r>
      <w:r>
        <w:rPr>
          <w:rFonts w:hint="eastAsia" w:ascii="Times New Roman" w:hAnsi="Times New Roman" w:eastAsia="仿宋_GB2312" w:cs="仿宋_GB2312"/>
          <w:color w:val="000000" w:themeColor="text1"/>
          <w:sz w:val="32"/>
          <w:szCs w:val="32"/>
        </w:rPr>
        <w:t>要严密防范各种风险挑战，有效遏</w:t>
      </w:r>
      <w:r>
        <w:rPr>
          <w:rFonts w:hint="eastAsia" w:ascii="Times New Roman" w:hAnsi="Times New Roman" w:eastAsia="仿宋_GB2312" w:cs="宋体"/>
          <w:kern w:val="0"/>
          <w:sz w:val="32"/>
          <w:szCs w:val="32"/>
        </w:rPr>
        <w:t>制重特大安全生产事故，常态化开展扫黑除恶斗争。</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县公安局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县应急局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县市场监管局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全州生态环境局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3DCEF5CC">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净化社会发展环境。从严治党，依法治县，加强党风廉政建设、行风建设、效能建设。继续巩固拓展</w:t>
      </w:r>
      <w:r>
        <w:rPr>
          <w:rFonts w:hint="eastAsia" w:ascii="Times New Roman" w:hAnsi="Times New Roman" w:eastAsia="仿宋_GB2312" w:cs="宋体"/>
          <w:kern w:val="0"/>
          <w:sz w:val="32"/>
          <w:szCs w:val="32"/>
          <w:lang w:eastAsia="zh-CN"/>
        </w:rPr>
        <w:t>党的群众路线教育实践活动</w:t>
      </w:r>
      <w:r>
        <w:rPr>
          <w:rFonts w:hint="eastAsia" w:ascii="Times New Roman" w:hAnsi="Times New Roman" w:eastAsia="仿宋_GB2312" w:cs="宋体"/>
          <w:kern w:val="0"/>
          <w:sz w:val="32"/>
          <w:szCs w:val="32"/>
        </w:rPr>
        <w:t>成果，深化“四风”问题整治；进一步清理、规范行政事业性收费，坚决制止“三乱”行为，强化政风行风建设。建立完善投资环境评议制和经济环境投诉制，着力营造商务成本较低、办事规范高效、服务配套完善的投资环境。全面落实廉政工作责任制，完善惩治和预防腐败体系，</w:t>
      </w:r>
      <w:r>
        <w:rPr>
          <w:rFonts w:hint="eastAsia" w:ascii="Times New Roman" w:hAnsi="Times New Roman" w:eastAsia="仿宋_GB2312" w:cs="宋体"/>
          <w:color w:val="000000" w:themeColor="text1"/>
          <w:kern w:val="0"/>
          <w:sz w:val="32"/>
          <w:szCs w:val="32"/>
        </w:rPr>
        <w:t>始终抓好党风廉政建设，使不敢腐、不能腐、不想腐一体化推进有更多的制度性成果和更大的治理成效。</w:t>
      </w:r>
      <w:r>
        <w:rPr>
          <w:rFonts w:hint="eastAsia" w:ascii="Times New Roman" w:hAnsi="Times New Roman" w:eastAsia="仿宋_GB2312" w:cs="宋体"/>
          <w:kern w:val="0"/>
          <w:sz w:val="32"/>
          <w:szCs w:val="32"/>
        </w:rPr>
        <w:t>推进司法建设，坚持依法治县，彰显公平正义。完善信用评价体系、征信体系，营造良好的信用环境。</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县委</w:t>
      </w:r>
      <w:r>
        <w:rPr>
          <w:rFonts w:hint="eastAsia" w:ascii="Times New Roman" w:hAnsi="Times New Roman" w:eastAsia="仿宋_GB2312" w:cs="宋体"/>
          <w:kern w:val="0"/>
          <w:sz w:val="32"/>
          <w:szCs w:val="32"/>
        </w:rPr>
        <w:t>组织部</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县纪委监委机关</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县财政局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06AAF996">
      <w:pPr>
        <w:pStyle w:val="16"/>
        <w:overflowPunct w:val="0"/>
        <w:autoSpaceDE w:val="0"/>
        <w:autoSpaceDN w:val="0"/>
        <w:adjustRightInd w:val="0"/>
        <w:snapToGrid w:val="0"/>
        <w:spacing w:after="0" w:line="360" w:lineRule="auto"/>
        <w:ind w:firstLine="0" w:firstLineChars="0"/>
        <w:rPr>
          <w:rFonts w:ascii="Times New Roman" w:hAnsi="Times New Roman" w:eastAsia="仿宋_GB2312" w:cs="宋体"/>
          <w:kern w:val="0"/>
          <w:szCs w:val="21"/>
        </w:rPr>
      </w:pPr>
    </w:p>
    <w:p w14:paraId="2D58D8BA">
      <w:pPr>
        <w:ind w:firstLine="616" w:firstLineChars="200"/>
        <w:rPr>
          <w:rStyle w:val="20"/>
          <w:rFonts w:ascii="Times New Roman" w:hAnsi="Times New Roman" w:eastAsia="黑体" w:cs="宋体"/>
          <w:b w:val="0"/>
          <w:bCs/>
          <w:kern w:val="0"/>
          <w:sz w:val="32"/>
          <w:szCs w:val="32"/>
        </w:rPr>
      </w:pPr>
      <w:bookmarkStart w:id="72" w:name="_Toc22597"/>
      <w:bookmarkStart w:id="73" w:name="_Toc32222"/>
      <w:r>
        <w:rPr>
          <w:rStyle w:val="20"/>
          <w:rFonts w:hint="eastAsia" w:ascii="Times New Roman" w:hAnsi="Times New Roman" w:eastAsia="黑体" w:cs="宋体"/>
          <w:b w:val="0"/>
          <w:bCs/>
          <w:kern w:val="0"/>
          <w:sz w:val="32"/>
          <w:szCs w:val="32"/>
        </w:rPr>
        <w:t>十、健全公共安全体系  筑牢公共安全防线</w:t>
      </w:r>
      <w:bookmarkEnd w:id="72"/>
      <w:bookmarkEnd w:id="73"/>
    </w:p>
    <w:p w14:paraId="0678C822">
      <w:pPr>
        <w:pStyle w:val="14"/>
        <w:overflowPunct w:val="0"/>
        <w:autoSpaceDE w:val="0"/>
        <w:autoSpaceDN w:val="0"/>
        <w:adjustRightInd w:val="0"/>
        <w:snapToGrid w:val="0"/>
        <w:spacing w:line="360" w:lineRule="auto"/>
        <w:ind w:firstLine="396" w:firstLineChars="200"/>
        <w:jc w:val="both"/>
        <w:rPr>
          <w:rFonts w:ascii="Times New Roman" w:hAnsi="Times New Roman" w:eastAsia="仿宋_GB2312"/>
          <w:sz w:val="21"/>
          <w:szCs w:val="21"/>
          <w:lang w:val="zh-CN"/>
        </w:rPr>
      </w:pPr>
    </w:p>
    <w:p w14:paraId="0A32DD90">
      <w:pPr>
        <w:overflowPunct w:val="0"/>
        <w:autoSpaceDE w:val="0"/>
        <w:autoSpaceDN w:val="0"/>
        <w:adjustRightInd w:val="0"/>
        <w:snapToGrid w:val="0"/>
        <w:spacing w:line="360" w:lineRule="auto"/>
        <w:ind w:firstLine="616" w:firstLineChars="200"/>
        <w:rPr>
          <w:rFonts w:ascii="Times New Roman" w:hAnsi="Times New Roman" w:eastAsia="仿宋_GB2312" w:cs="仿宋_GB2312"/>
          <w:sz w:val="32"/>
          <w:szCs w:val="32"/>
        </w:rPr>
      </w:pPr>
      <w:r>
        <w:rPr>
          <w:rFonts w:hint="eastAsia" w:ascii="Times New Roman" w:hAnsi="Times New Roman" w:eastAsia="仿宋_GB2312" w:cs="宋体"/>
          <w:kern w:val="0"/>
          <w:sz w:val="32"/>
          <w:szCs w:val="30"/>
          <w:lang w:val="zh-CN"/>
        </w:rPr>
        <w:t>要始终把人民群众生命安全和身体健康放在第一位，既要立足当前，也要放眼长远，查找短板不足，加快堵漏洞强弱项。要坚持平战结合、补齐短板，健全完善公共安全应急管理体系，增加公共安全应急管理设施，提高应对突发重大公共安全事件的能力水平。</w:t>
      </w:r>
    </w:p>
    <w:p w14:paraId="1834804D">
      <w:pPr>
        <w:pStyle w:val="27"/>
        <w:overflowPunct w:val="0"/>
        <w:snapToGrid w:val="0"/>
        <w:spacing w:line="360" w:lineRule="auto"/>
        <w:jc w:val="both"/>
        <w:rPr>
          <w:rFonts w:ascii="Times New Roman" w:hAnsi="Times New Roman"/>
          <w:sz w:val="21"/>
          <w:szCs w:val="21"/>
        </w:rPr>
      </w:pPr>
    </w:p>
    <w:p w14:paraId="07E7B313">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74" w:name="_Toc31524"/>
      <w:bookmarkStart w:id="75" w:name="_Toc31084"/>
      <w:bookmarkStart w:id="76" w:name="_Toc24162"/>
      <w:r>
        <w:rPr>
          <w:rStyle w:val="20"/>
          <w:rFonts w:hint="eastAsia" w:ascii="Times New Roman" w:hAnsi="Times New Roman" w:eastAsia="楷体_GB2312" w:cs="楷体_GB2312"/>
          <w:b w:val="0"/>
          <w:bCs w:val="0"/>
          <w:kern w:val="0"/>
          <w:sz w:val="32"/>
          <w:szCs w:val="32"/>
        </w:rPr>
        <w:t>第一节  完善应急管理体系</w:t>
      </w:r>
      <w:bookmarkEnd w:id="74"/>
      <w:bookmarkEnd w:id="75"/>
      <w:bookmarkEnd w:id="76"/>
    </w:p>
    <w:p w14:paraId="1E2BED7D">
      <w:pPr>
        <w:pStyle w:val="14"/>
        <w:overflowPunct w:val="0"/>
        <w:autoSpaceDE w:val="0"/>
        <w:autoSpaceDN w:val="0"/>
        <w:adjustRightInd w:val="0"/>
        <w:snapToGrid w:val="0"/>
        <w:spacing w:line="360" w:lineRule="auto"/>
        <w:ind w:firstLine="396" w:firstLineChars="200"/>
        <w:jc w:val="both"/>
        <w:rPr>
          <w:rFonts w:ascii="Times New Roman" w:hAnsi="Times New Roman" w:eastAsia="仿宋_GB2312"/>
          <w:b/>
          <w:bCs/>
          <w:sz w:val="21"/>
          <w:szCs w:val="21"/>
          <w:lang w:val="zh-CN"/>
        </w:rPr>
      </w:pPr>
    </w:p>
    <w:p w14:paraId="168B1D37">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zh-CN" w:eastAsia="zh-CN" w:bidi="ar-SA"/>
        </w:rPr>
      </w:pPr>
      <w:r>
        <w:rPr>
          <w:rFonts w:hint="eastAsia" w:ascii="Times New Roman" w:hAnsi="Times New Roman" w:eastAsia="仿宋_GB2312" w:cs="宋体"/>
          <w:kern w:val="0"/>
          <w:sz w:val="32"/>
          <w:szCs w:val="32"/>
          <w:lang w:val="zh-CN" w:eastAsia="zh-CN" w:bidi="ar-SA"/>
        </w:rPr>
        <w:t>加快</w:t>
      </w:r>
      <w:r>
        <w:rPr>
          <w:rFonts w:hint="eastAsia" w:ascii="Times New Roman" w:hAnsi="Times New Roman" w:eastAsia="仿宋_GB2312" w:cs="宋体"/>
          <w:kern w:val="0"/>
          <w:sz w:val="32"/>
          <w:szCs w:val="32"/>
          <w:lang w:val="en-US" w:eastAsia="zh-CN" w:bidi="ar-SA"/>
        </w:rPr>
        <w:t>完善</w:t>
      </w:r>
      <w:r>
        <w:rPr>
          <w:rFonts w:hint="eastAsia" w:ascii="Times New Roman" w:hAnsi="Times New Roman" w:eastAsia="仿宋_GB2312" w:cs="宋体"/>
          <w:kern w:val="0"/>
          <w:sz w:val="32"/>
          <w:szCs w:val="32"/>
          <w:lang w:val="zh-CN" w:eastAsia="zh-CN" w:bidi="ar-SA"/>
        </w:rPr>
        <w:t>应急管理制度。对现有管理制度进行系统清理，破除部门利益的局限性，实现应急制度体系内部的协调统一。同时加快优化创新公共安全应急管理机制，尤其是健全公共卫生重大风险预防机制、突发公共卫生事件预警发布机制、重大疫情应急响应机制及公共卫生应急保障支撑体系。</w:t>
      </w:r>
      <w:r>
        <w:rPr>
          <w:rFonts w:hint="eastAsia" w:ascii="Times New Roman" w:hAnsi="Times New Roman" w:eastAsia="仿宋_GB2312" w:cs="宋体"/>
          <w:kern w:val="0"/>
          <w:sz w:val="32"/>
          <w:szCs w:val="32"/>
          <w:lang w:val="en-US" w:eastAsia="zh-CN" w:bidi="ar-SA"/>
        </w:rPr>
        <w:t>强化各部门联防联动责任与协调协作机制。加强疫情防控，健全重大疫情、公共卫生应急管理和救治体系，提升全县疾病预防控制水平和突发公共事件应急处置能力。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zh-CN" w:eastAsia="zh-CN" w:bidi="ar-SA"/>
        </w:rPr>
        <w:t>县应急局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县卫生健康局、各乡（镇）人民政府〕</w:t>
      </w:r>
    </w:p>
    <w:p w14:paraId="644B6D0A">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zh-CN" w:eastAsia="zh-CN" w:bidi="ar-SA"/>
        </w:rPr>
        <w:t>加强</w:t>
      </w:r>
      <w:r>
        <w:rPr>
          <w:rFonts w:hint="eastAsia" w:ascii="Times New Roman" w:hAnsi="Times New Roman" w:eastAsia="仿宋_GB2312" w:cs="宋体"/>
          <w:kern w:val="0"/>
          <w:sz w:val="32"/>
          <w:szCs w:val="32"/>
          <w:lang w:val="en-US" w:eastAsia="zh-CN" w:bidi="ar-SA"/>
        </w:rPr>
        <w:t>人才</w:t>
      </w:r>
      <w:r>
        <w:rPr>
          <w:rFonts w:hint="eastAsia" w:ascii="Times New Roman" w:hAnsi="Times New Roman" w:eastAsia="仿宋_GB2312" w:cs="宋体"/>
          <w:kern w:val="0"/>
          <w:sz w:val="32"/>
          <w:szCs w:val="32"/>
          <w:lang w:val="zh-CN" w:eastAsia="zh-CN" w:bidi="ar-SA"/>
        </w:rPr>
        <w:t>队伍梯队建设。通过梯队化的队伍体</w:t>
      </w:r>
      <w:r>
        <w:rPr>
          <w:rFonts w:hint="eastAsia" w:ascii="Times New Roman" w:hAnsi="Times New Roman" w:eastAsia="仿宋_GB2312"/>
          <w:sz w:val="32"/>
          <w:szCs w:val="30"/>
          <w:lang w:val="zh-CN"/>
        </w:rPr>
        <w:t>系建设，推动公共安全“防—控—救”各环节的有机结合。加大基层公共安全防控队伍建设，通过出台优惠政策，鼓励更多公共安全服务人才充实到乡镇和农村、社区服务中心或服务站，提</w:t>
      </w:r>
      <w:r>
        <w:rPr>
          <w:rFonts w:hint="eastAsia" w:ascii="Times New Roman" w:hAnsi="Times New Roman" w:eastAsia="仿宋_GB2312" w:cs="宋体"/>
          <w:kern w:val="0"/>
          <w:sz w:val="32"/>
          <w:szCs w:val="32"/>
          <w:lang w:val="zh-CN" w:eastAsia="zh-CN" w:bidi="ar-SA"/>
        </w:rPr>
        <w:t>高基层一线防控能力。</w:t>
      </w:r>
      <w:r>
        <w:rPr>
          <w:rFonts w:hint="eastAsia" w:ascii="Times New Roman" w:hAnsi="Times New Roman" w:eastAsia="仿宋_GB2312" w:cs="宋体"/>
          <w:kern w:val="0"/>
          <w:sz w:val="32"/>
          <w:szCs w:val="32"/>
          <w:lang w:val="en-US" w:eastAsia="zh-CN" w:bidi="ar-SA"/>
        </w:rPr>
        <w:t>新增应急救护人员，提升疫情监测预警能力。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zh-CN" w:eastAsia="zh-CN" w:bidi="ar-SA"/>
        </w:rPr>
        <w:t>县应急局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县卫生健康局、各乡（镇）人民政府〕</w:t>
      </w:r>
    </w:p>
    <w:p w14:paraId="082CEF6A">
      <w:pPr>
        <w:pStyle w:val="14"/>
        <w:overflowPunct w:val="0"/>
        <w:autoSpaceDE w:val="0"/>
        <w:autoSpaceDN w:val="0"/>
        <w:adjustRightInd w:val="0"/>
        <w:snapToGrid w:val="0"/>
        <w:spacing w:line="360" w:lineRule="auto"/>
        <w:ind w:firstLine="616" w:firstLineChars="200"/>
        <w:jc w:val="both"/>
        <w:rPr>
          <w:rFonts w:ascii="Times New Roman" w:hAnsi="Times New Roman" w:eastAsia="仿宋_GB2312" w:cs="宋体"/>
          <w:kern w:val="0"/>
          <w:sz w:val="32"/>
          <w:szCs w:val="32"/>
          <w:lang w:val="en-US" w:eastAsia="zh-CN" w:bidi="ar-SA"/>
        </w:rPr>
      </w:pPr>
      <w:r>
        <w:rPr>
          <w:rFonts w:hint="eastAsia" w:ascii="Times New Roman" w:hAnsi="Times New Roman" w:eastAsia="仿宋_GB2312" w:cs="宋体"/>
          <w:kern w:val="0"/>
          <w:sz w:val="32"/>
          <w:szCs w:val="32"/>
          <w:lang w:val="en-US" w:eastAsia="zh-CN" w:bidi="ar-SA"/>
        </w:rPr>
        <w:t>加强社会协同公众参与。积</w:t>
      </w:r>
      <w:r>
        <w:rPr>
          <w:rFonts w:hint="eastAsia" w:ascii="Times New Roman" w:hAnsi="Times New Roman" w:eastAsia="仿宋_GB2312"/>
          <w:sz w:val="32"/>
          <w:szCs w:val="30"/>
        </w:rPr>
        <w:t>极引导、吸纳社会力量和有关企事业单位参与公共安全应急和防控工作。拓宽关键防护物资和防控用品的社会供给渠道，并建立合理的征用补偿机制。</w:t>
      </w:r>
      <w:r>
        <w:rPr>
          <w:rFonts w:hint="eastAsia" w:ascii="Times New Roman" w:hAnsi="Times New Roman" w:eastAsia="仿宋_GB2312" w:cs="仿宋_GB2312"/>
          <w:sz w:val="32"/>
          <w:szCs w:val="32"/>
        </w:rPr>
        <w:t>加强应急管理培训教育，提高应急意识，</w:t>
      </w:r>
      <w:r>
        <w:rPr>
          <w:rFonts w:hint="eastAsia" w:ascii="Times New Roman" w:hAnsi="Times New Roman" w:eastAsia="仿宋_GB2312"/>
          <w:sz w:val="32"/>
          <w:szCs w:val="30"/>
        </w:rPr>
        <w:t>加大公共安全和应急知识宣传教育力度，切实提升公众自我防护能力。出台激励政策，切实维护志愿</w:t>
      </w:r>
      <w:r>
        <w:rPr>
          <w:rFonts w:hint="eastAsia" w:ascii="Times New Roman" w:hAnsi="Times New Roman" w:eastAsia="仿宋_GB2312" w:cs="宋体"/>
          <w:kern w:val="0"/>
          <w:sz w:val="32"/>
          <w:szCs w:val="32"/>
          <w:lang w:val="en-US" w:eastAsia="zh-CN" w:bidi="ar-SA"/>
        </w:rPr>
        <w:t>者的合法权益。</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lang w:val="en-US" w:eastAsia="zh-CN" w:bidi="ar-SA"/>
        </w:rPr>
        <w:t>牵头单位：</w:t>
      </w:r>
      <w:r>
        <w:rPr>
          <w:rFonts w:hint="eastAsia" w:ascii="Times New Roman" w:hAnsi="Times New Roman" w:eastAsia="仿宋_GB2312" w:cs="宋体"/>
          <w:kern w:val="0"/>
          <w:sz w:val="32"/>
          <w:szCs w:val="32"/>
          <w:lang w:val="zh-CN" w:eastAsia="zh-CN" w:bidi="ar-SA"/>
        </w:rPr>
        <w:t>县应急局</w:t>
      </w:r>
      <w:r>
        <w:rPr>
          <w:rFonts w:ascii="Times New Roman" w:hAnsi="Times New Roman" w:eastAsia="仿宋_GB2312" w:cs="宋体"/>
          <w:kern w:val="0"/>
          <w:sz w:val="32"/>
          <w:szCs w:val="32"/>
          <w:lang w:val="en-US" w:eastAsia="zh-CN" w:bidi="ar-SA"/>
        </w:rPr>
        <w:t>；配合单位：</w:t>
      </w:r>
      <w:r>
        <w:rPr>
          <w:rFonts w:hint="eastAsia" w:ascii="Times New Roman" w:hAnsi="Times New Roman" w:eastAsia="仿宋_GB2312" w:cs="宋体"/>
          <w:kern w:val="0"/>
          <w:sz w:val="32"/>
          <w:szCs w:val="32"/>
          <w:lang w:val="en-US" w:eastAsia="zh-CN" w:bidi="ar-SA"/>
        </w:rPr>
        <w:t>县卫生健康局、各乡（镇）人民政府〕</w:t>
      </w:r>
    </w:p>
    <w:p w14:paraId="521D9D54">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lang w:val="en-US" w:eastAsia="zh-CN" w:bidi="ar-SA"/>
        </w:rPr>
        <w:t>加大公共安全设施建设。统筹财政资金，有序</w:t>
      </w:r>
      <w:r>
        <w:rPr>
          <w:rFonts w:hint="eastAsia" w:ascii="Times New Roman" w:hAnsi="Times New Roman" w:eastAsia="仿宋_GB2312" w:cs="宋体"/>
          <w:kern w:val="0"/>
          <w:sz w:val="32"/>
          <w:szCs w:val="30"/>
        </w:rPr>
        <w:t>建设必要的公共安全设施，加快建设应急物资储备仓库，配备</w:t>
      </w:r>
      <w:r>
        <w:rPr>
          <w:rFonts w:hint="eastAsia" w:ascii="Times New Roman" w:hAnsi="Times New Roman" w:eastAsia="仿宋_GB2312" w:cs="仿宋_GB2312"/>
          <w:sz w:val="32"/>
          <w:szCs w:val="32"/>
        </w:rPr>
        <w:t>完善应急救护场所和设备，保障并及时更新交通工具，建设车辆统一调度平台，</w:t>
      </w:r>
      <w:r>
        <w:rPr>
          <w:rFonts w:hint="eastAsia" w:ascii="Times New Roman" w:hAnsi="Times New Roman" w:eastAsia="仿宋_GB2312" w:cs="宋体"/>
          <w:kern w:val="0"/>
          <w:sz w:val="32"/>
          <w:szCs w:val="30"/>
        </w:rPr>
        <w:t>提升自然灾害、事故灾难、公共卫生事</w:t>
      </w:r>
      <w:r>
        <w:rPr>
          <w:rFonts w:hint="eastAsia" w:ascii="Times New Roman" w:hAnsi="Times New Roman" w:eastAsia="仿宋_GB2312" w:cs="宋体"/>
          <w:kern w:val="0"/>
          <w:sz w:val="32"/>
          <w:szCs w:val="32"/>
        </w:rPr>
        <w:t>件和社会安全事件的快速处理能力。加强应急物</w:t>
      </w:r>
      <w:r>
        <w:rPr>
          <w:rFonts w:hint="eastAsia" w:ascii="Times New Roman" w:hAnsi="Times New Roman" w:eastAsia="仿宋_GB2312" w:cs="宋体"/>
          <w:kern w:val="0"/>
          <w:sz w:val="32"/>
          <w:szCs w:val="32"/>
          <w:lang w:val="en-US" w:eastAsia="zh-CN"/>
        </w:rPr>
        <w:t>资</w:t>
      </w:r>
      <w:r>
        <w:rPr>
          <w:rFonts w:hint="eastAsia" w:ascii="Times New Roman" w:hAnsi="Times New Roman" w:eastAsia="仿宋_GB2312" w:cs="宋体"/>
          <w:kern w:val="0"/>
          <w:sz w:val="32"/>
          <w:szCs w:val="32"/>
        </w:rPr>
        <w:t>储备和保障能力。</w:t>
      </w:r>
      <w:bookmarkStart w:id="77" w:name="_Toc6272"/>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县应急局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县卫生健康局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县财政局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005E38E6">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p>
    <w:p w14:paraId="79A8E822">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val="0"/>
          <w:kern w:val="0"/>
          <w:sz w:val="32"/>
          <w:szCs w:val="30"/>
        </w:rPr>
      </w:pPr>
      <w:bookmarkStart w:id="78" w:name="_Toc5744"/>
      <w:bookmarkStart w:id="79" w:name="_Toc27518"/>
      <w:r>
        <w:rPr>
          <w:rStyle w:val="20"/>
          <w:rFonts w:hint="eastAsia" w:ascii="Times New Roman" w:hAnsi="Times New Roman" w:eastAsia="楷体_GB2312" w:cs="楷体_GB2312"/>
          <w:b w:val="0"/>
          <w:bCs w:val="0"/>
          <w:kern w:val="0"/>
          <w:sz w:val="32"/>
          <w:szCs w:val="32"/>
        </w:rPr>
        <w:t>第二节  牢固公共安全网络</w:t>
      </w:r>
      <w:bookmarkEnd w:id="77"/>
      <w:bookmarkEnd w:id="78"/>
      <w:bookmarkEnd w:id="79"/>
    </w:p>
    <w:p w14:paraId="5D1D5F66">
      <w:pPr>
        <w:overflowPunct w:val="0"/>
        <w:autoSpaceDE w:val="0"/>
        <w:autoSpaceDN w:val="0"/>
        <w:adjustRightInd w:val="0"/>
        <w:snapToGrid w:val="0"/>
        <w:spacing w:line="360" w:lineRule="auto"/>
        <w:ind w:firstLine="396" w:firstLineChars="200"/>
        <w:rPr>
          <w:rFonts w:ascii="Times New Roman" w:hAnsi="Times New Roman" w:eastAsia="仿宋_GB2312" w:cs="宋体"/>
          <w:kern w:val="0"/>
          <w:szCs w:val="21"/>
        </w:rPr>
      </w:pPr>
    </w:p>
    <w:p w14:paraId="10DA3C80">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0"/>
        </w:rPr>
        <w:t>按照系统治理、依法治理、综合治理、源头治理的要求，有效防控各类安全风险，应对各种挑战。保障食品药品安全，健全监管机构，完善监管机制，创新监管手段，实施全程监管。实施最严格的安全生产制度，坚决遏制重特大安全事故发生。加大环境治理力度，立足长远，改变资源环境的低定价局面，不断加</w:t>
      </w:r>
      <w:r>
        <w:rPr>
          <w:rFonts w:hint="eastAsia" w:ascii="Times New Roman" w:hAnsi="Times New Roman" w:eastAsia="仿宋_GB2312" w:cs="宋体"/>
          <w:kern w:val="0"/>
          <w:sz w:val="32"/>
          <w:szCs w:val="32"/>
        </w:rPr>
        <w:t>强环保执法，鼓励群众参与监督，对存在的问题需要坚决整改到位。</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县应急局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全州生态环境局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7CDA3254">
      <w:pPr>
        <w:pStyle w:val="27"/>
        <w:rPr>
          <w:rFonts w:ascii="Times New Roman" w:hAnsi="Times New Roman"/>
          <w:sz w:val="21"/>
          <w:szCs w:val="21"/>
        </w:rPr>
      </w:pPr>
    </w:p>
    <w:p w14:paraId="1A557AA3">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80" w:name="_Toc32428"/>
      <w:r>
        <w:rPr>
          <w:rStyle w:val="20"/>
          <w:rFonts w:hint="eastAsia" w:ascii="Times New Roman" w:hAnsi="Times New Roman" w:eastAsia="楷体_GB2312" w:cs="楷体_GB2312"/>
          <w:b w:val="0"/>
          <w:bCs w:val="0"/>
          <w:kern w:val="0"/>
          <w:sz w:val="32"/>
          <w:szCs w:val="32"/>
        </w:rPr>
        <w:t>第三节  完善社会治理体系</w:t>
      </w:r>
      <w:bookmarkEnd w:id="80"/>
    </w:p>
    <w:p w14:paraId="616E9D9F">
      <w:pPr>
        <w:pStyle w:val="27"/>
        <w:overflowPunct w:val="0"/>
        <w:snapToGrid w:val="0"/>
        <w:spacing w:line="360" w:lineRule="auto"/>
        <w:ind w:firstLine="392" w:firstLineChars="198"/>
        <w:jc w:val="both"/>
        <w:rPr>
          <w:rFonts w:ascii="Times New Roman" w:hAnsi="Times New Roman" w:eastAsia="仿宋_GB2312" w:cs="宋体"/>
          <w:color w:val="auto"/>
          <w:sz w:val="21"/>
          <w:szCs w:val="21"/>
        </w:rPr>
      </w:pPr>
    </w:p>
    <w:p w14:paraId="6E63DDBE">
      <w:pPr>
        <w:pStyle w:val="27"/>
        <w:overflowPunct w:val="0"/>
        <w:snapToGrid w:val="0"/>
        <w:spacing w:line="360" w:lineRule="auto"/>
        <w:ind w:firstLine="610" w:firstLineChars="198"/>
        <w:jc w:val="both"/>
        <w:rPr>
          <w:rFonts w:ascii="Times New Roman" w:hAnsi="Times New Roman" w:eastAsia="仿宋_GB2312" w:cs="宋体"/>
          <w:color w:val="auto"/>
          <w:kern w:val="0"/>
          <w:sz w:val="32"/>
          <w:szCs w:val="32"/>
          <w:lang w:val="en-US" w:eastAsia="zh-CN" w:bidi="ar-SA"/>
        </w:rPr>
      </w:pPr>
      <w:r>
        <w:rPr>
          <w:rFonts w:hint="eastAsia" w:ascii="Times New Roman" w:hAnsi="Times New Roman" w:eastAsia="仿宋_GB2312" w:cs="宋体"/>
          <w:color w:val="auto"/>
          <w:sz w:val="32"/>
          <w:szCs w:val="30"/>
        </w:rPr>
        <w:t>深入推进“平安全州”建设，创新社会治理模式，确保人民安居乐业，社会和谐有序。健全调解机制，完善人民法律保障。加强预防和化解社会矛盾机制建设，正确处理人民内部矛盾。加强社会心理服务体系建设，培育积极向上的社会心态。强化县、乡（镇）、村三级综治中心实体化建设，实现综治视联网、“雪亮”工程、综治“E”通“三网合一”目标。加强村</w:t>
      </w:r>
      <w:r>
        <w:rPr>
          <w:rFonts w:hint="eastAsia" w:ascii="Times New Roman" w:hAnsi="Times New Roman" w:eastAsia="仿宋_GB2312" w:cs="宋体"/>
          <w:color w:val="auto"/>
          <w:sz w:val="32"/>
          <w:szCs w:val="30"/>
          <w:lang w:eastAsia="zh-CN"/>
        </w:rPr>
        <w:t>（</w:t>
      </w:r>
      <w:r>
        <w:rPr>
          <w:rFonts w:hint="eastAsia" w:ascii="Times New Roman" w:hAnsi="Times New Roman" w:eastAsia="仿宋_GB2312" w:cs="宋体"/>
          <w:color w:val="auto"/>
          <w:sz w:val="32"/>
          <w:szCs w:val="30"/>
        </w:rPr>
        <w:t>社区</w:t>
      </w:r>
      <w:r>
        <w:rPr>
          <w:rFonts w:hint="eastAsia" w:ascii="Times New Roman" w:hAnsi="Times New Roman" w:eastAsia="仿宋_GB2312" w:cs="宋体"/>
          <w:color w:val="auto"/>
          <w:sz w:val="32"/>
          <w:szCs w:val="30"/>
          <w:lang w:eastAsia="zh-CN"/>
        </w:rPr>
        <w:t>）</w:t>
      </w:r>
      <w:r>
        <w:rPr>
          <w:rFonts w:hint="eastAsia" w:ascii="Times New Roman" w:hAnsi="Times New Roman" w:eastAsia="仿宋_GB2312" w:cs="宋体"/>
          <w:color w:val="auto"/>
          <w:sz w:val="32"/>
          <w:szCs w:val="30"/>
        </w:rPr>
        <w:t>平台建设，推广网格化管理和服务，健全村</w:t>
      </w:r>
      <w:r>
        <w:rPr>
          <w:rFonts w:hint="eastAsia" w:ascii="Times New Roman" w:hAnsi="Times New Roman" w:eastAsia="仿宋_GB2312" w:cs="宋体"/>
          <w:color w:val="auto"/>
          <w:sz w:val="32"/>
          <w:szCs w:val="30"/>
          <w:lang w:eastAsia="zh-CN"/>
        </w:rPr>
        <w:t>（</w:t>
      </w:r>
      <w:r>
        <w:rPr>
          <w:rFonts w:hint="eastAsia" w:ascii="Times New Roman" w:hAnsi="Times New Roman" w:eastAsia="仿宋_GB2312" w:cs="宋体"/>
          <w:color w:val="auto"/>
          <w:sz w:val="32"/>
          <w:szCs w:val="30"/>
        </w:rPr>
        <w:t>社区</w:t>
      </w:r>
      <w:r>
        <w:rPr>
          <w:rFonts w:hint="eastAsia" w:ascii="Times New Roman" w:hAnsi="Times New Roman" w:eastAsia="仿宋_GB2312" w:cs="宋体"/>
          <w:color w:val="auto"/>
          <w:sz w:val="32"/>
          <w:szCs w:val="30"/>
          <w:lang w:eastAsia="zh-CN"/>
        </w:rPr>
        <w:t>）</w:t>
      </w:r>
      <w:r>
        <w:rPr>
          <w:rFonts w:hint="eastAsia" w:ascii="Times New Roman" w:hAnsi="Times New Roman" w:eastAsia="仿宋_GB2312" w:cs="宋体"/>
          <w:color w:val="auto"/>
          <w:sz w:val="32"/>
          <w:szCs w:val="30"/>
        </w:rPr>
        <w:t>共建机制。畅通和规范市场主体、新社会阶层、社会工作者和志愿者等参与社会治理的途径，发挥群团组织和社会组织在社会治理中的作用。推动社会治理重心向基层下移，实现政府治理和社会调节、居民自治良性互动。建立社会治理专业队伍，完善立体化社会治安防控体系，打造“枫桥经验”全州新模式。加强重点人</w:t>
      </w:r>
      <w:r>
        <w:rPr>
          <w:rFonts w:hint="eastAsia" w:ascii="Times New Roman" w:hAnsi="Times New Roman" w:eastAsia="仿宋_GB2312" w:cs="宋体"/>
          <w:color w:val="auto"/>
          <w:sz w:val="32"/>
          <w:szCs w:val="30"/>
          <w:lang w:val="en-US" w:eastAsia="zh-CN"/>
        </w:rPr>
        <w:t>民</w:t>
      </w:r>
      <w:r>
        <w:rPr>
          <w:rFonts w:hint="eastAsia" w:ascii="Times New Roman" w:hAnsi="Times New Roman" w:eastAsia="仿宋_GB2312" w:cs="宋体"/>
          <w:color w:val="auto"/>
          <w:sz w:val="32"/>
          <w:szCs w:val="30"/>
        </w:rPr>
        <w:t>群众的服务管理，全面推进社区矫正工作，强化专业手段建设，充分运用警务科技信息化效力，依法严密防范和惩治各类违法犯罪活动，维护社会稳定团结。强力组织开展信息网络领域专项整治行动，全力打击整治利用信息网络实施涉黑涉恶违法犯罪；依法打击邪教组织，彻底铲除社会毒瘤；深入开展打击“黄赌毒”违法犯罪活动，进一步净化辖区社会风气，营造和谐稳定的治安环境。围绕“公共服务智能化”和“社会治理集成化”，构建数字社会治理体系。推动平安全州、应急管理、信用体系方面的数字化建设，以数字化赋能加</w:t>
      </w:r>
      <w:r>
        <w:rPr>
          <w:rFonts w:hint="eastAsia" w:ascii="Times New Roman" w:hAnsi="Times New Roman" w:eastAsia="仿宋_GB2312" w:cs="宋体"/>
          <w:color w:val="auto"/>
          <w:kern w:val="0"/>
          <w:sz w:val="32"/>
          <w:szCs w:val="32"/>
          <w:lang w:val="en-US" w:eastAsia="zh-CN" w:bidi="ar-SA"/>
        </w:rPr>
        <w:t>速社会治理现代化。</w:t>
      </w:r>
      <w:r>
        <w:rPr>
          <w:rFonts w:hint="eastAsia" w:ascii="Times New Roman" w:hAnsi="Times New Roman" w:eastAsia="仿宋_GB2312" w:cs="仿宋_GB2312"/>
          <w:kern w:val="0"/>
          <w:sz w:val="32"/>
          <w:szCs w:val="32"/>
        </w:rPr>
        <w:t>〔</w:t>
      </w:r>
      <w:r>
        <w:rPr>
          <w:rFonts w:ascii="Times New Roman" w:hAnsi="Times New Roman" w:eastAsia="仿宋_GB2312" w:cs="宋体"/>
          <w:color w:val="auto"/>
          <w:kern w:val="0"/>
          <w:sz w:val="32"/>
          <w:szCs w:val="32"/>
          <w:lang w:val="en-US" w:eastAsia="zh-CN" w:bidi="ar-SA"/>
        </w:rPr>
        <w:t>牵头单位：</w:t>
      </w:r>
      <w:r>
        <w:rPr>
          <w:rFonts w:hint="eastAsia" w:ascii="Times New Roman" w:hAnsi="Times New Roman" w:eastAsia="仿宋_GB2312" w:cs="宋体"/>
          <w:color w:val="auto"/>
          <w:kern w:val="0"/>
          <w:sz w:val="32"/>
          <w:szCs w:val="32"/>
          <w:lang w:val="zh-CN" w:eastAsia="zh-CN" w:bidi="ar-SA"/>
        </w:rPr>
        <w:t>县公安局</w:t>
      </w:r>
      <w:r>
        <w:rPr>
          <w:rFonts w:ascii="Times New Roman" w:hAnsi="Times New Roman" w:eastAsia="仿宋_GB2312" w:cs="宋体"/>
          <w:color w:val="auto"/>
          <w:kern w:val="0"/>
          <w:sz w:val="32"/>
          <w:szCs w:val="32"/>
          <w:lang w:val="en-US" w:eastAsia="zh-CN" w:bidi="ar-SA"/>
        </w:rPr>
        <w:t>；配合单位：</w:t>
      </w:r>
      <w:r>
        <w:rPr>
          <w:rFonts w:hint="eastAsia" w:ascii="Times New Roman" w:hAnsi="Times New Roman" w:eastAsia="仿宋_GB2312" w:cs="宋体"/>
          <w:color w:val="auto"/>
          <w:kern w:val="0"/>
          <w:sz w:val="32"/>
          <w:szCs w:val="32"/>
          <w:lang w:val="en-US" w:eastAsia="zh-CN" w:bidi="ar-SA"/>
        </w:rPr>
        <w:t>县司法局、县法院、县检察院、各乡（镇）人民政府〕</w:t>
      </w:r>
    </w:p>
    <w:p w14:paraId="08C56C02">
      <w:pPr>
        <w:rPr>
          <w:rFonts w:ascii="Times New Roman" w:hAnsi="Times New Roman"/>
        </w:rPr>
      </w:pPr>
    </w:p>
    <w:p w14:paraId="62DE1CFC">
      <w:pPr>
        <w:ind w:firstLine="616" w:firstLineChars="200"/>
        <w:rPr>
          <w:rStyle w:val="20"/>
          <w:rFonts w:ascii="Times New Roman" w:hAnsi="Times New Roman" w:eastAsia="黑体" w:cs="宋体"/>
          <w:b w:val="0"/>
          <w:bCs/>
          <w:kern w:val="0"/>
          <w:sz w:val="32"/>
          <w:szCs w:val="32"/>
        </w:rPr>
      </w:pPr>
      <w:bookmarkStart w:id="81" w:name="_Toc1554"/>
      <w:r>
        <w:rPr>
          <w:rStyle w:val="20"/>
          <w:rFonts w:hint="eastAsia" w:ascii="Times New Roman" w:hAnsi="Times New Roman" w:eastAsia="黑体" w:cs="宋体"/>
          <w:b w:val="0"/>
          <w:bCs/>
          <w:kern w:val="0"/>
          <w:sz w:val="32"/>
          <w:szCs w:val="32"/>
        </w:rPr>
        <w:t>十一、强力推进绿色发展  共筑生态秀美家园</w:t>
      </w:r>
      <w:bookmarkEnd w:id="66"/>
      <w:bookmarkEnd w:id="81"/>
    </w:p>
    <w:p w14:paraId="22597E47">
      <w:pPr>
        <w:overflowPunct w:val="0"/>
        <w:autoSpaceDE w:val="0"/>
        <w:autoSpaceDN w:val="0"/>
        <w:adjustRightInd w:val="0"/>
        <w:snapToGrid w:val="0"/>
        <w:spacing w:line="360" w:lineRule="auto"/>
        <w:ind w:firstLine="396" w:firstLineChars="200"/>
        <w:rPr>
          <w:rFonts w:ascii="Times New Roman" w:hAnsi="Times New Roman" w:eastAsia="仿宋_GB2312" w:cs="仿宋_GB2312"/>
          <w:bCs/>
          <w:kern w:val="0"/>
          <w:szCs w:val="21"/>
        </w:rPr>
      </w:pPr>
    </w:p>
    <w:p w14:paraId="6FEF6B53">
      <w:pPr>
        <w:overflowPunct w:val="0"/>
        <w:autoSpaceDE w:val="0"/>
        <w:autoSpaceDN w:val="0"/>
        <w:adjustRightInd w:val="0"/>
        <w:snapToGrid w:val="0"/>
        <w:spacing w:line="360" w:lineRule="auto"/>
        <w:ind w:firstLine="616" w:firstLineChars="200"/>
        <w:rPr>
          <w:rFonts w:ascii="Times New Roman" w:hAnsi="Times New Roman" w:eastAsia="仿宋_GB2312" w:cs="仿宋_GB2312"/>
          <w:color w:val="FF0000"/>
          <w:sz w:val="32"/>
          <w:szCs w:val="32"/>
        </w:rPr>
      </w:pPr>
      <w:r>
        <w:rPr>
          <w:rFonts w:hint="eastAsia" w:ascii="Times New Roman" w:hAnsi="Times New Roman" w:eastAsia="仿宋_GB2312" w:cs="仿宋_GB2312"/>
          <w:bCs/>
          <w:kern w:val="0"/>
          <w:sz w:val="32"/>
          <w:szCs w:val="32"/>
        </w:rPr>
        <w:t>以争创国家级生态县为目标，全面推进生态文明建设。</w:t>
      </w:r>
      <w:r>
        <w:rPr>
          <w:rFonts w:hint="eastAsia" w:ascii="Times New Roman" w:hAnsi="Times New Roman" w:eastAsia="仿宋_GB2312" w:cs="仿宋_GB2312"/>
          <w:color w:val="000000" w:themeColor="text1"/>
          <w:sz w:val="32"/>
          <w:szCs w:val="32"/>
        </w:rPr>
        <w:t>坚持山水林田湖草沙系统治理，坚持正确的生态观、发展观，敬畏自然、顺应自然、保护自然，上下同心、齐抓共管，把保持山水生态的原真性和完整性作为一项重要工作，深入推进生态修复和环境污染治理，杜绝滥采乱挖，推动流域生态环境持续改善、生态系统持续优化、整体功能持续提升。完善生态环境准入、强化生态治理和管控，着力推进绿</w:t>
      </w:r>
      <w:r>
        <w:rPr>
          <w:rFonts w:hint="eastAsia" w:ascii="Times New Roman" w:hAnsi="Times New Roman" w:eastAsia="仿宋_GB2312" w:cs="仿宋_GB2312"/>
          <w:sz w:val="32"/>
          <w:szCs w:val="32"/>
        </w:rPr>
        <w:t>色、循环、低碳发展，推动产业生态化和生态产业化，促进新旧动能转换，推动全县经济实现绿色高质量发展。从根本上加强生态环境保护，</w:t>
      </w:r>
      <w:r>
        <w:rPr>
          <w:rFonts w:hint="eastAsia" w:ascii="Times New Roman" w:hAnsi="Times New Roman" w:eastAsia="仿宋_GB2312" w:cs="仿宋_GB2312"/>
          <w:sz w:val="32"/>
          <w:szCs w:val="32"/>
          <w:shd w:val="clear" w:color="auto" w:fill="FFFFFF"/>
        </w:rPr>
        <w:t>坚决打好污染防治攻坚战，</w:t>
      </w:r>
      <w:r>
        <w:rPr>
          <w:rFonts w:hint="eastAsia" w:ascii="Times New Roman" w:hAnsi="Times New Roman" w:eastAsia="仿宋_GB2312" w:cs="仿宋_GB2312"/>
          <w:sz w:val="32"/>
          <w:szCs w:val="32"/>
        </w:rPr>
        <w:t>建设生态文明新家园。</w:t>
      </w:r>
    </w:p>
    <w:p w14:paraId="73FA007D">
      <w:pPr>
        <w:pStyle w:val="27"/>
        <w:rPr>
          <w:rFonts w:ascii="Times New Roman" w:hAnsi="Times New Roman"/>
          <w:sz w:val="21"/>
          <w:szCs w:val="21"/>
        </w:rPr>
      </w:pPr>
    </w:p>
    <w:p w14:paraId="73CA519B">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val="0"/>
          <w:sz w:val="32"/>
          <w:szCs w:val="32"/>
        </w:rPr>
      </w:pPr>
      <w:bookmarkStart w:id="82" w:name="_Toc30143"/>
      <w:r>
        <w:rPr>
          <w:rStyle w:val="20"/>
          <w:rFonts w:hint="eastAsia" w:ascii="Times New Roman" w:hAnsi="Times New Roman" w:eastAsia="楷体_GB2312" w:cs="楷体_GB2312"/>
          <w:b w:val="0"/>
          <w:bCs w:val="0"/>
          <w:kern w:val="0"/>
          <w:sz w:val="32"/>
          <w:szCs w:val="32"/>
        </w:rPr>
        <w:t>第一节  发展绿色循环经济</w:t>
      </w:r>
      <w:bookmarkEnd w:id="82"/>
    </w:p>
    <w:p w14:paraId="2DBD6C6A">
      <w:pPr>
        <w:overflowPunct w:val="0"/>
        <w:autoSpaceDE w:val="0"/>
        <w:autoSpaceDN w:val="0"/>
        <w:adjustRightInd w:val="0"/>
        <w:snapToGrid w:val="0"/>
        <w:spacing w:line="360" w:lineRule="auto"/>
        <w:ind w:firstLine="396" w:firstLineChars="200"/>
        <w:rPr>
          <w:rFonts w:ascii="Times New Roman" w:hAnsi="Times New Roman" w:eastAsia="仿宋_GB2312" w:cs="仿宋_GB2312"/>
          <w:szCs w:val="21"/>
        </w:rPr>
      </w:pPr>
    </w:p>
    <w:p w14:paraId="6571F3D1">
      <w:pPr>
        <w:overflowPunct w:val="0"/>
        <w:autoSpaceDE w:val="0"/>
        <w:autoSpaceDN w:val="0"/>
        <w:adjustRightInd w:val="0"/>
        <w:snapToGrid w:val="0"/>
        <w:spacing w:line="360" w:lineRule="auto"/>
        <w:ind w:firstLine="616" w:firstLineChars="200"/>
        <w:rPr>
          <w:rFonts w:ascii="Times New Roman" w:hAnsi="Times New Roman"/>
          <w:sz w:val="21"/>
          <w:szCs w:val="21"/>
        </w:rPr>
      </w:pPr>
      <w:r>
        <w:rPr>
          <w:rFonts w:hint="eastAsia" w:ascii="Times New Roman" w:hAnsi="Times New Roman" w:eastAsia="仿宋_GB2312" w:cs="仿宋_GB2312"/>
          <w:color w:val="000000" w:themeColor="text1"/>
          <w:sz w:val="32"/>
          <w:szCs w:val="32"/>
        </w:rPr>
        <w:t>继续打好污染防治攻坚战，把碳达峰、碳中和纳入经济社会发展和生态文明建设整体布局，建立健全绿色低碳循环发展的经济体系，推动经济社会发展全面绿色转型。</w:t>
      </w:r>
      <w:r>
        <w:rPr>
          <w:rFonts w:hint="eastAsia" w:ascii="Times New Roman" w:hAnsi="Times New Roman" w:eastAsia="仿宋_GB2312" w:cs="仿宋_GB2312"/>
          <w:sz w:val="32"/>
          <w:szCs w:val="32"/>
        </w:rPr>
        <w:t>积极参与广西可持续发展议程创新示范区建设。加快构建以产业生态化和生态产业化为主体的生态经济体系，大力开展循环经济试点示范工程，推广循环经济典型模式，推出一批循环经济重点项目。坚持“一产利用生态、二产服从生态、三产保护生态”理念，以“生态+”为抓手，构建科技含量高、经济效益好、资源消耗低、环境污染少的产业结构和生产方式，构建现代绿色产业体系，推动绿色循环低碳发展。以新发展理念为引领，统筹各类创新资源，集成运用关键技术，在生态治理、绿色制造、循环经济等领域，策划实施一批可持续发展科技重大专项。精心谋划和大力发展绿色生态种养、林下经济、清洁生产、节能环保、清洁能源、智能制造、文化旅游、通道物流、循环农业、</w:t>
      </w:r>
      <w:r>
        <w:rPr>
          <w:rFonts w:hint="eastAsia" w:ascii="Times New Roman" w:hAnsi="Times New Roman" w:eastAsia="仿宋_GB2312" w:cs="仿宋_GB2312"/>
          <w:kern w:val="0"/>
          <w:sz w:val="32"/>
          <w:szCs w:val="32"/>
        </w:rPr>
        <w:t>康养体育、</w:t>
      </w:r>
      <w:r>
        <w:rPr>
          <w:rFonts w:hint="eastAsia" w:ascii="Times New Roman" w:hAnsi="Times New Roman" w:eastAsia="仿宋_GB2312" w:cs="仿宋_GB2312"/>
          <w:sz w:val="32"/>
          <w:szCs w:val="32"/>
        </w:rPr>
        <w:t>中医中药、数据信息、军民融合等生态产业。</w:t>
      </w:r>
      <w:r>
        <w:rPr>
          <w:rFonts w:hint="eastAsia" w:ascii="Times New Roman" w:hAnsi="Times New Roman" w:eastAsia="仿宋_GB2312" w:cs="仿宋_GB2312"/>
          <w:kern w:val="0"/>
          <w:sz w:val="32"/>
          <w:szCs w:val="32"/>
        </w:rPr>
        <w:t>将全州工业集中区建设为低碳开发区，布局低碳产业，推动实施标准化环境管理体系认证。</w:t>
      </w:r>
      <w:r>
        <w:rPr>
          <w:rFonts w:hint="eastAsia" w:ascii="Times New Roman" w:hAnsi="Times New Roman" w:eastAsia="仿宋_GB2312" w:cs="仿宋_GB2312"/>
          <w:bCs/>
          <w:sz w:val="32"/>
          <w:szCs w:val="32"/>
        </w:rPr>
        <w:t>强化工业节能，</w:t>
      </w:r>
      <w:r>
        <w:rPr>
          <w:rFonts w:hint="eastAsia" w:ascii="Times New Roman" w:hAnsi="Times New Roman" w:eastAsia="仿宋_GB2312" w:cs="仿宋_GB2312"/>
          <w:sz w:val="32"/>
          <w:szCs w:val="32"/>
        </w:rPr>
        <w:t>加快淘汰落后高耗能设备</w:t>
      </w:r>
      <w:r>
        <w:rPr>
          <w:rFonts w:hint="eastAsia" w:ascii="Times New Roman" w:hAnsi="Times New Roman" w:eastAsia="仿宋_GB2312" w:cs="仿宋_GB2312"/>
          <w:kern w:val="0"/>
          <w:sz w:val="32"/>
          <w:szCs w:val="32"/>
        </w:rPr>
        <w:t>。</w:t>
      </w:r>
      <w:r>
        <w:rPr>
          <w:rFonts w:hint="eastAsia" w:ascii="Times New Roman" w:hAnsi="Times New Roman" w:eastAsia="仿宋_GB2312" w:cs="仿宋_GB2312"/>
          <w:sz w:val="32"/>
          <w:szCs w:val="32"/>
        </w:rPr>
        <w:t>按照低碳环保要求，建立园区企业上下游产业链。开发利用可再生能源，</w:t>
      </w:r>
      <w:r>
        <w:rPr>
          <w:rFonts w:hint="eastAsia" w:ascii="Times New Roman" w:hAnsi="Times New Roman" w:eastAsia="仿宋_GB2312" w:cs="仿宋_GB2312"/>
          <w:kern w:val="0"/>
          <w:sz w:val="32"/>
          <w:szCs w:val="32"/>
        </w:rPr>
        <w:t>实现城市生活垃圾焚烧发电及综合利用，支持农村秸秆发电和规模化养殖场畜粪利用。加</w:t>
      </w:r>
      <w:r>
        <w:rPr>
          <w:rFonts w:hint="eastAsia" w:ascii="Times New Roman" w:hAnsi="Times New Roman" w:eastAsia="仿宋_GB2312" w:cs="宋体"/>
          <w:kern w:val="0"/>
          <w:sz w:val="32"/>
          <w:szCs w:val="32"/>
        </w:rPr>
        <w:t>强投融资体制创新，争取自治区、桂林市各级示范区建设政策落地落实。</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全州生态环境局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县林业局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县工业和信息化局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258687C5">
      <w:pPr>
        <w:overflowPunct w:val="0"/>
        <w:autoSpaceDE w:val="0"/>
        <w:autoSpaceDN w:val="0"/>
        <w:adjustRightInd w:val="0"/>
        <w:snapToGrid w:val="0"/>
        <w:spacing w:line="360" w:lineRule="auto"/>
        <w:jc w:val="center"/>
        <w:outlineLvl w:val="1"/>
        <w:rPr>
          <w:rStyle w:val="20"/>
          <w:rFonts w:ascii="Times New Roman" w:hAnsi="Times New Roman" w:eastAsia="宋体" w:cs="宋体"/>
          <w:b/>
          <w:bCs/>
          <w:kern w:val="0"/>
          <w:sz w:val="32"/>
          <w:szCs w:val="32"/>
        </w:rPr>
      </w:pPr>
      <w:bookmarkStart w:id="83" w:name="_Toc658"/>
    </w:p>
    <w:p w14:paraId="232FE4F8">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val="0"/>
          <w:sz w:val="32"/>
          <w:szCs w:val="32"/>
        </w:rPr>
      </w:pPr>
      <w:r>
        <w:rPr>
          <w:rStyle w:val="20"/>
          <w:rFonts w:hint="eastAsia" w:ascii="Times New Roman" w:hAnsi="Times New Roman" w:eastAsia="楷体_GB2312" w:cs="楷体_GB2312"/>
          <w:b w:val="0"/>
          <w:bCs w:val="0"/>
          <w:kern w:val="0"/>
          <w:sz w:val="32"/>
          <w:szCs w:val="32"/>
        </w:rPr>
        <w:t>第二节  提高资源利用效率</w:t>
      </w:r>
      <w:bookmarkEnd w:id="83"/>
    </w:p>
    <w:p w14:paraId="329FFA7F">
      <w:pPr>
        <w:overflowPunct w:val="0"/>
        <w:autoSpaceDE w:val="0"/>
        <w:autoSpaceDN w:val="0"/>
        <w:adjustRightInd w:val="0"/>
        <w:snapToGrid w:val="0"/>
        <w:spacing w:line="360" w:lineRule="auto"/>
        <w:ind w:firstLine="396" w:firstLineChars="200"/>
        <w:rPr>
          <w:rFonts w:ascii="Times New Roman" w:hAnsi="Times New Roman" w:eastAsia="仿宋_GB2312" w:cs="仿宋_GB2312"/>
          <w:kern w:val="0"/>
          <w:szCs w:val="21"/>
        </w:rPr>
      </w:pPr>
    </w:p>
    <w:p w14:paraId="750EC2C8">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kern w:val="0"/>
          <w:sz w:val="32"/>
          <w:szCs w:val="32"/>
        </w:rPr>
        <w:t>提高能源效率，减少能源使用，加快结构调整，发展高附加、低能耗的制造业和生产性服务业。强化节能管理，完善能源统计和审计，加强能耗监控。引导企业加大节能技术开发引进，加强技术改造。加快淘汰落后产能，健全和完善落后产能退出机制。积极整合土地资源，依法拆迁补偿安置，实行土地集约节约利用，促进城乡统筹协调发展。强化节约集约用地管理，鼓励制定集约高效利用土地的产业用地政策，建立完善集约节约用地评价考核体系，严格执行土地投资强度管制，提高土地投入产出率，为可持续发展提供土地保障。规范土地市场，科学有序出让工业和经营性项目用地。加强饮用水水源地保护和水质监控，保障饮水安全。加强</w:t>
      </w:r>
      <w:r>
        <w:rPr>
          <w:rFonts w:hint="eastAsia" w:ascii="Times New Roman" w:hAnsi="Times New Roman" w:eastAsia="仿宋_GB2312" w:cs="宋体"/>
          <w:kern w:val="0"/>
          <w:sz w:val="32"/>
          <w:szCs w:val="32"/>
        </w:rPr>
        <w:t>水资源统一管理，合理调配水资源，提高水资源和水环境承载能力。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全州生态环境局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县工业和信息化局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县自然资源局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460464E4">
      <w:pPr>
        <w:pStyle w:val="27"/>
        <w:rPr>
          <w:rFonts w:hint="eastAsia" w:ascii="Times New Roman" w:hAnsi="Times New Roman" w:eastAsia="楷体_GB2312" w:cs="楷体_GB2312"/>
          <w:b w:val="0"/>
          <w:bCs w:val="0"/>
          <w:sz w:val="21"/>
          <w:szCs w:val="21"/>
        </w:rPr>
      </w:pPr>
    </w:p>
    <w:p w14:paraId="0BCE849F">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val="0"/>
          <w:sz w:val="32"/>
          <w:szCs w:val="32"/>
        </w:rPr>
      </w:pPr>
      <w:bookmarkStart w:id="84" w:name="_Toc16442"/>
      <w:r>
        <w:rPr>
          <w:rStyle w:val="20"/>
          <w:rFonts w:hint="eastAsia" w:ascii="Times New Roman" w:hAnsi="Times New Roman" w:eastAsia="楷体_GB2312" w:cs="楷体_GB2312"/>
          <w:b w:val="0"/>
          <w:bCs w:val="0"/>
          <w:kern w:val="0"/>
          <w:sz w:val="32"/>
          <w:szCs w:val="32"/>
        </w:rPr>
        <w:t>第三节  加强生态环境保护</w:t>
      </w:r>
      <w:bookmarkEnd w:id="84"/>
    </w:p>
    <w:p w14:paraId="67B3C09A">
      <w:pPr>
        <w:overflowPunct w:val="0"/>
        <w:autoSpaceDE w:val="0"/>
        <w:autoSpaceDN w:val="0"/>
        <w:adjustRightInd w:val="0"/>
        <w:snapToGrid w:val="0"/>
        <w:spacing w:line="360" w:lineRule="auto"/>
        <w:ind w:firstLine="396" w:firstLineChars="200"/>
        <w:rPr>
          <w:rFonts w:ascii="Times New Roman" w:hAnsi="Times New Roman" w:eastAsia="仿宋_GB2312" w:cs="仿宋_GB2312"/>
          <w:bCs/>
          <w:kern w:val="0"/>
          <w:szCs w:val="21"/>
        </w:rPr>
      </w:pPr>
    </w:p>
    <w:p w14:paraId="7D4F30C3">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bCs/>
          <w:kern w:val="0"/>
          <w:sz w:val="32"/>
          <w:szCs w:val="32"/>
        </w:rPr>
        <w:t>坚守环境质量底线和生态保护红线，严格规范用地管理，实施山水林田湖草生态一体化保护和修复工程，完善河长制、湖长制、林长制，加强生物多样性保护，持续推进天湖国家湿地公园、五福宝顶自然保护区、海洋山自然保护区的建设。持续推进造林绿化、退耕还林、石漠化综合治理、</w:t>
      </w:r>
      <w:r>
        <w:rPr>
          <w:rFonts w:hint="eastAsia" w:ascii="Times New Roman" w:hAnsi="Times New Roman" w:eastAsia="仿宋_GB2312" w:cs="宋体"/>
          <w:kern w:val="0"/>
          <w:sz w:val="32"/>
          <w:szCs w:val="32"/>
        </w:rPr>
        <w:t>林业病虫害防控、生态林保护、天保林保护、湿地生态系统保护工程。</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县林业局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县水利局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24389510">
      <w:pPr>
        <w:overflowPunct w:val="0"/>
        <w:autoSpaceDE w:val="0"/>
        <w:autoSpaceDN w:val="0"/>
        <w:adjustRightInd w:val="0"/>
        <w:snapToGrid w:val="0"/>
        <w:spacing w:line="360" w:lineRule="auto"/>
        <w:ind w:firstLine="641"/>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bCs/>
          <w:kern w:val="0"/>
          <w:sz w:val="32"/>
          <w:szCs w:val="32"/>
        </w:rPr>
        <w:t>统筹推进湘江保护和治理，实施湘江主要支流生态环境保护与修复提升工程。统筹推进湘桂古运河建设，加快天湖国家高山湿地公园建设，强化天湖、三江口、湘江源头等重点区域生态保护和建设，以及歌陂河、万乡河等乡镇小流域河道整治项目。加大沿溪、沿江源头、水库周边的水源涵养林保护与建设，加强城乡饮用水源地保护，启动备用</w:t>
      </w:r>
      <w:r>
        <w:rPr>
          <w:rFonts w:hint="eastAsia" w:ascii="Times New Roman" w:hAnsi="Times New Roman" w:eastAsia="仿宋_GB2312" w:cs="宋体"/>
          <w:kern w:val="0"/>
          <w:sz w:val="32"/>
          <w:szCs w:val="32"/>
        </w:rPr>
        <w:t>水源地建设工程，加大水土流失治理，全面提高森林涵养水源能力。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县水利局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县林业局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县交通运输局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6015DCDD">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bCs/>
          <w:kern w:val="0"/>
          <w:sz w:val="32"/>
          <w:szCs w:val="32"/>
        </w:rPr>
        <w:t>加快全县水气土质量治理。加快推进国土空间生态修复、全域土地综合整治，</w:t>
      </w:r>
      <w:r>
        <w:rPr>
          <w:rFonts w:hint="eastAsia" w:ascii="Times New Roman" w:hAnsi="Times New Roman" w:eastAsia="仿宋_GB2312" w:cs="仿宋_GB2312"/>
          <w:bCs/>
          <w:kern w:val="0"/>
          <w:sz w:val="32"/>
          <w:szCs w:val="32"/>
          <w:lang w:val="zh-CN"/>
        </w:rPr>
        <w:t>科学划定水产畜牧禁养区、限养区，</w:t>
      </w:r>
      <w:r>
        <w:rPr>
          <w:rFonts w:hint="eastAsia" w:ascii="Times New Roman" w:hAnsi="Times New Roman" w:eastAsia="仿宋_GB2312" w:cs="仿宋_GB2312"/>
          <w:bCs/>
          <w:kern w:val="0"/>
          <w:sz w:val="32"/>
          <w:szCs w:val="32"/>
        </w:rPr>
        <w:t>严格项目准入和环保监管。加强建设项目环境影响的评价审批，全面推行排污许可证制度，对涉及自然保护区的各类红线内建设项目全面进行清理整顿。严厉打击非法占用林地、湿地、肆意破坏森林和野生动物植物资源、非法采盗矿产资源等违法犯罪行为。建立健全生态环境保护机制。加强水生生态环境保护，重拳打击电鱼、毒鱼、炸鱼行为。坚决打好蓝天碧水净土保卫战，加强农村生活污水治理和黑臭水体整治，科学划定水产畜牧禁养区、限养区，鼓励养殖废物资源化利用，加强环境监管，严厉打击偷排废水行为，从源头控制水污染源，保障水体环境质量；加强</w:t>
      </w:r>
      <w:r>
        <w:rPr>
          <w:rFonts w:hint="eastAsia" w:ascii="Times New Roman" w:hAnsi="Times New Roman" w:eastAsia="仿宋_GB2312" w:cs="宋体"/>
          <w:kern w:val="0"/>
          <w:sz w:val="32"/>
          <w:szCs w:val="32"/>
        </w:rPr>
        <w:t>地下水监管，划分地下水污染防治分区，因地制宜保护地下水资源。</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全州生态环境局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县自然资源局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县林业局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县水利局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0FEE56D5">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宋体"/>
          <w:kern w:val="0"/>
          <w:sz w:val="32"/>
          <w:szCs w:val="32"/>
        </w:rPr>
        <w:t>强化企业环境管理，加强砖厂、燃煤锅炉整治</w:t>
      </w:r>
      <w:r>
        <w:rPr>
          <w:rFonts w:hint="eastAsia" w:ascii="Times New Roman" w:hAnsi="Times New Roman" w:eastAsia="仿宋_GB2312" w:cs="仿宋_GB2312"/>
          <w:bCs/>
          <w:kern w:val="0"/>
          <w:sz w:val="32"/>
          <w:szCs w:val="32"/>
        </w:rPr>
        <w:t>，加强道路和建筑工地扬尘管控，增强全民环保意识，严禁违法违规燃放烟花爆竹、焚烧</w:t>
      </w:r>
      <w:r>
        <w:rPr>
          <w:rFonts w:hint="eastAsia" w:ascii="Times New Roman" w:hAnsi="Times New Roman" w:eastAsia="仿宋_GB2312" w:cs="仿宋_GB2312"/>
          <w:bCs/>
          <w:kern w:val="0"/>
          <w:sz w:val="32"/>
          <w:szCs w:val="32"/>
          <w:lang w:eastAsia="zh-CN"/>
        </w:rPr>
        <w:t>秸秆</w:t>
      </w:r>
      <w:r>
        <w:rPr>
          <w:rFonts w:hint="eastAsia" w:ascii="Times New Roman" w:hAnsi="Times New Roman" w:eastAsia="仿宋_GB2312" w:cs="仿宋_GB2312"/>
          <w:bCs/>
          <w:kern w:val="0"/>
          <w:sz w:val="32"/>
          <w:szCs w:val="32"/>
        </w:rPr>
        <w:t>、垃圾等行为；全面开展土壤生态环境保护与重金属污染防治，加强重点行业企业监管和建设用地土壤污染风险管控，提倡农业有机肥和生物农药使用，做到农药化肥使用零增长，鼓励农用地膜和农用固体废物回收利用，加快实施农村生活垃圾分类收集转运处置设施建设，提升生活垃圾无害化处理</w:t>
      </w:r>
      <w:r>
        <w:rPr>
          <w:rFonts w:hint="eastAsia" w:ascii="Times New Roman" w:hAnsi="Times New Roman" w:eastAsia="仿宋_GB2312" w:cs="宋体"/>
          <w:kern w:val="0"/>
          <w:sz w:val="32"/>
          <w:szCs w:val="32"/>
        </w:rPr>
        <w:t>率。完善环境监管制度，提升环境治理体系和治理能力现代化水平。</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全州生态环境局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县住房城乡建设局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县城市管理监督局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r>
        <w:rPr>
          <w:rFonts w:hint="eastAsia" w:ascii="Times New Roman" w:hAnsi="Times New Roman" w:eastAsia="仿宋_GB2312" w:cs="宋体"/>
          <w:kern w:val="0"/>
          <w:sz w:val="32"/>
          <w:szCs w:val="32"/>
        </w:rPr>
        <w:t xml:space="preserve"> </w:t>
      </w:r>
    </w:p>
    <w:p w14:paraId="132BB449">
      <w:pPr>
        <w:overflowPunct w:val="0"/>
        <w:autoSpaceDE w:val="0"/>
        <w:autoSpaceDN w:val="0"/>
        <w:adjustRightInd w:val="0"/>
        <w:snapToGrid w:val="0"/>
        <w:spacing w:line="360" w:lineRule="auto"/>
        <w:rPr>
          <w:rStyle w:val="20"/>
          <w:rFonts w:ascii="Times New Roman" w:hAnsi="Times New Roman" w:eastAsia="宋体" w:cs="宋体"/>
          <w:b/>
          <w:bCs/>
          <w:kern w:val="0"/>
          <w:szCs w:val="21"/>
        </w:rPr>
      </w:pPr>
      <w:bookmarkStart w:id="85" w:name="_Toc13262"/>
    </w:p>
    <w:p w14:paraId="44E4F211">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val="0"/>
          <w:sz w:val="32"/>
          <w:szCs w:val="32"/>
        </w:rPr>
      </w:pPr>
      <w:r>
        <w:rPr>
          <w:rStyle w:val="20"/>
          <w:rFonts w:hint="eastAsia" w:ascii="Times New Roman" w:hAnsi="Times New Roman" w:eastAsia="楷体_GB2312" w:cs="楷体_GB2312"/>
          <w:b w:val="0"/>
          <w:bCs w:val="0"/>
          <w:kern w:val="0"/>
          <w:sz w:val="32"/>
          <w:szCs w:val="32"/>
        </w:rPr>
        <w:t>第四节  加强城乡人居环境综合整治</w:t>
      </w:r>
      <w:bookmarkEnd w:id="85"/>
    </w:p>
    <w:p w14:paraId="01709518">
      <w:pPr>
        <w:overflowPunct w:val="0"/>
        <w:autoSpaceDE w:val="0"/>
        <w:autoSpaceDN w:val="0"/>
        <w:adjustRightInd w:val="0"/>
        <w:snapToGrid w:val="0"/>
        <w:spacing w:line="360" w:lineRule="auto"/>
        <w:ind w:firstLine="396" w:firstLineChars="200"/>
        <w:rPr>
          <w:rFonts w:ascii="Times New Roman" w:hAnsi="Times New Roman" w:eastAsia="仿宋_GB2312" w:cs="仿宋_GB2312"/>
          <w:bCs/>
          <w:kern w:val="0"/>
          <w:szCs w:val="21"/>
        </w:rPr>
      </w:pPr>
    </w:p>
    <w:p w14:paraId="63DFDEBD">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bCs/>
          <w:kern w:val="0"/>
          <w:sz w:val="32"/>
          <w:szCs w:val="32"/>
        </w:rPr>
        <w:t>严格落实环境保护“党政同责”“一岗双责”</w:t>
      </w:r>
      <w:r>
        <w:rPr>
          <w:rFonts w:hint="eastAsia" w:ascii="Times New Roman" w:hAnsi="Times New Roman" w:eastAsia="仿宋_GB2312" w:cs="仿宋_GB2312"/>
          <w:kern w:val="0"/>
          <w:sz w:val="32"/>
          <w:szCs w:val="32"/>
          <w:lang w:val="zh-CN"/>
        </w:rPr>
        <w:t>。</w:t>
      </w:r>
      <w:r>
        <w:rPr>
          <w:rFonts w:hint="eastAsia" w:ascii="Times New Roman" w:hAnsi="Times New Roman" w:eastAsia="仿宋_GB2312" w:cs="仿宋_GB2312"/>
          <w:bCs/>
          <w:kern w:val="0"/>
          <w:sz w:val="32"/>
          <w:szCs w:val="32"/>
        </w:rPr>
        <w:t>持续推进大气、水、土壤污染防治。全面</w:t>
      </w:r>
      <w:r>
        <w:rPr>
          <w:rFonts w:hint="eastAsia" w:ascii="Times New Roman" w:hAnsi="Times New Roman" w:eastAsia="仿宋_GB2312" w:cs="仿宋_GB2312"/>
          <w:sz w:val="32"/>
          <w:szCs w:val="32"/>
        </w:rPr>
        <w:t>推进“河长制”，加强湘江、灌江、万乡河、宜湘河</w:t>
      </w:r>
      <w:r>
        <w:rPr>
          <w:rFonts w:hint="eastAsia" w:ascii="Times New Roman" w:hAnsi="Times New Roman" w:eastAsia="仿宋_GB2312" w:cs="仿宋_GB2312"/>
          <w:bCs/>
          <w:kern w:val="0"/>
          <w:sz w:val="32"/>
          <w:szCs w:val="32"/>
        </w:rPr>
        <w:t>等水系保护；强化河道采砂监管，重拳打击电鱼、毒鱼、炸鱼、违规网箱养鱼、偷排污水废水等违法行为；加快饮用水源地保护区规范化建设。强化土壤污染风险管控，推进工业固废综合利用，严格整治化肥农药农业废弃物、畜禽养殖污染和非法山砂、矿产采挖。</w:t>
      </w:r>
      <w:r>
        <w:rPr>
          <w:rFonts w:hint="eastAsia" w:ascii="Times New Roman" w:hAnsi="Times New Roman" w:eastAsia="仿宋_GB2312" w:cs="仿宋_GB2312"/>
          <w:bCs/>
          <w:kern w:val="0"/>
          <w:sz w:val="32"/>
          <w:szCs w:val="32"/>
          <w:lang w:val="zh-CN"/>
        </w:rPr>
        <w:t>完善生产生活环保基础设施，全县建制镇污水处理厂和园区污水处理厂项目建成投运；做好重点排污企业、涉重金属企业、无牌无证企业、小型选矿企业的安全检查，加强小水电、砖厂、燃煤锅炉整治。</w:t>
      </w:r>
      <w:r>
        <w:rPr>
          <w:rFonts w:hint="eastAsia" w:ascii="Times New Roman" w:hAnsi="Times New Roman" w:eastAsia="仿宋_GB2312" w:cs="仿宋_GB2312"/>
          <w:bCs/>
          <w:kern w:val="0"/>
          <w:sz w:val="32"/>
          <w:szCs w:val="32"/>
        </w:rPr>
        <w:t>强化道路扬尘管控，加强颗粒物控制，促进空气优良率持续提高。</w:t>
      </w:r>
      <w:r>
        <w:rPr>
          <w:rFonts w:hint="eastAsia" w:ascii="Times New Roman" w:hAnsi="Times New Roman" w:eastAsia="仿宋_GB2312" w:cs="仿宋_GB2312"/>
          <w:bCs/>
          <w:kern w:val="0"/>
          <w:sz w:val="32"/>
          <w:szCs w:val="32"/>
          <w:lang w:val="zh-CN"/>
        </w:rPr>
        <w:t>开展农村环境质量试点监测，加大农村环境执法力度，促使农村环境持续改善。</w:t>
      </w:r>
      <w:bookmarkStart w:id="86" w:name="_Toc419108019"/>
      <w:r>
        <w:rPr>
          <w:rFonts w:hint="eastAsia" w:ascii="Times New Roman" w:hAnsi="Times New Roman" w:eastAsia="仿宋_GB2312" w:cs="仿宋_GB2312"/>
          <w:bCs/>
          <w:kern w:val="0"/>
          <w:sz w:val="32"/>
          <w:szCs w:val="32"/>
        </w:rPr>
        <w:t>加快实施农村污水垃圾处理工程，加快乡镇村屯集中式污水处理、农村生活垃圾分类收集转运处置设施建设，实现行政村农村生活污水处理设施覆盖率、生活垃圾无害化处理率提升</w:t>
      </w:r>
      <w:r>
        <w:rPr>
          <w:rFonts w:hint="eastAsia" w:ascii="Times New Roman" w:hAnsi="Times New Roman" w:eastAsia="仿宋_GB2312" w:cs="宋体"/>
          <w:kern w:val="0"/>
          <w:sz w:val="32"/>
          <w:szCs w:val="32"/>
        </w:rPr>
        <w:t>。</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全州生态环境局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县水利局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县工业和信息化局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5E4EF3E0">
      <w:pPr>
        <w:overflowPunct w:val="0"/>
        <w:autoSpaceDE w:val="0"/>
        <w:autoSpaceDN w:val="0"/>
        <w:adjustRightInd w:val="0"/>
        <w:snapToGrid w:val="0"/>
        <w:spacing w:line="360" w:lineRule="auto"/>
        <w:jc w:val="center"/>
        <w:rPr>
          <w:rStyle w:val="20"/>
          <w:rFonts w:ascii="Times New Roman" w:hAnsi="Times New Roman" w:eastAsia="黑体" w:cs="宋体"/>
          <w:b/>
          <w:kern w:val="0"/>
          <w:szCs w:val="21"/>
        </w:rPr>
      </w:pPr>
      <w:bookmarkStart w:id="87" w:name="_Toc9244"/>
    </w:p>
    <w:p w14:paraId="6E5EA402">
      <w:pPr>
        <w:ind w:firstLine="462" w:firstLineChars="150"/>
        <w:rPr>
          <w:rStyle w:val="20"/>
          <w:rFonts w:ascii="Times New Roman" w:hAnsi="Times New Roman" w:eastAsia="黑体" w:cs="宋体"/>
          <w:b w:val="0"/>
          <w:bCs/>
          <w:kern w:val="0"/>
          <w:sz w:val="32"/>
          <w:szCs w:val="32"/>
        </w:rPr>
      </w:pPr>
      <w:bookmarkStart w:id="88" w:name="_Toc2206"/>
      <w:r>
        <w:rPr>
          <w:rStyle w:val="20"/>
          <w:rFonts w:hint="eastAsia" w:ascii="Times New Roman" w:hAnsi="Times New Roman" w:eastAsia="黑体" w:cs="宋体"/>
          <w:b w:val="0"/>
          <w:bCs/>
          <w:kern w:val="0"/>
          <w:sz w:val="32"/>
          <w:szCs w:val="32"/>
        </w:rPr>
        <w:t>十二、 全面深化改革创新  持续优化发展环境</w:t>
      </w:r>
      <w:bookmarkEnd w:id="87"/>
      <w:bookmarkEnd w:id="88"/>
    </w:p>
    <w:p w14:paraId="70E5B61C">
      <w:pPr>
        <w:overflowPunct w:val="0"/>
        <w:autoSpaceDE w:val="0"/>
        <w:autoSpaceDN w:val="0"/>
        <w:adjustRightInd w:val="0"/>
        <w:snapToGrid w:val="0"/>
        <w:spacing w:line="360" w:lineRule="auto"/>
        <w:ind w:firstLine="396" w:firstLineChars="200"/>
        <w:rPr>
          <w:rFonts w:ascii="Times New Roman" w:hAnsi="Times New Roman" w:eastAsia="仿宋_GB2312" w:cs="宋体"/>
          <w:kern w:val="0"/>
          <w:szCs w:val="21"/>
        </w:rPr>
      </w:pPr>
    </w:p>
    <w:p w14:paraId="1B0C276D">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89" w:name="_Toc10742"/>
      <w:bookmarkStart w:id="90" w:name="_Toc22175"/>
      <w:bookmarkStart w:id="91" w:name="_Toc7158"/>
      <w:r>
        <w:rPr>
          <w:rStyle w:val="20"/>
          <w:rFonts w:hint="eastAsia" w:ascii="Times New Roman" w:hAnsi="Times New Roman" w:eastAsia="楷体_GB2312" w:cs="楷体_GB2312"/>
          <w:b w:val="0"/>
          <w:bCs w:val="0"/>
          <w:kern w:val="0"/>
          <w:sz w:val="32"/>
          <w:szCs w:val="32"/>
        </w:rPr>
        <w:t>第一节  全面深化改革</w:t>
      </w:r>
      <w:bookmarkEnd w:id="89"/>
      <w:bookmarkEnd w:id="90"/>
      <w:bookmarkEnd w:id="91"/>
    </w:p>
    <w:p w14:paraId="4B9ED39E">
      <w:pPr>
        <w:overflowPunct w:val="0"/>
        <w:autoSpaceDE w:val="0"/>
        <w:autoSpaceDN w:val="0"/>
        <w:adjustRightInd w:val="0"/>
        <w:snapToGrid w:val="0"/>
        <w:spacing w:line="360" w:lineRule="auto"/>
        <w:ind w:firstLine="396" w:firstLineChars="200"/>
        <w:rPr>
          <w:rFonts w:ascii="Times New Roman" w:hAnsi="Times New Roman" w:eastAsia="仿宋_GB2312" w:cs="宋体"/>
          <w:kern w:val="0"/>
          <w:szCs w:val="21"/>
          <w:lang w:val="zh-CN"/>
        </w:rPr>
      </w:pPr>
    </w:p>
    <w:p w14:paraId="4F1BC7D9">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0"/>
          <w:lang w:val="zh-CN"/>
        </w:rPr>
      </w:pPr>
      <w:r>
        <w:rPr>
          <w:rFonts w:hint="eastAsia" w:ascii="Times New Roman" w:hAnsi="Times New Roman" w:eastAsia="仿宋_GB2312" w:cs="宋体"/>
          <w:kern w:val="0"/>
          <w:sz w:val="32"/>
          <w:szCs w:val="30"/>
          <w:lang w:val="zh-CN"/>
        </w:rPr>
        <w:t>进一步加大落实上级改革开放政策，结合全州县情，在政治、经济、农业农村、开放合作、招商引资、招商引智、创新创业等领域大胆尝试，主动对接县外资源，主动承接国家、自治区、市相关领域的试点、示范区建设工作。</w:t>
      </w:r>
    </w:p>
    <w:p w14:paraId="323BD836">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val="zh-CN" w:eastAsia="zh-CN"/>
        </w:rPr>
      </w:pPr>
      <w:r>
        <w:rPr>
          <w:rFonts w:hint="eastAsia" w:ascii="Times New Roman" w:hAnsi="Times New Roman" w:eastAsia="仿宋_GB2312" w:cs="宋体"/>
          <w:kern w:val="0"/>
          <w:sz w:val="32"/>
          <w:szCs w:val="32"/>
        </w:rPr>
        <w:t>深化</w:t>
      </w:r>
      <w:r>
        <w:rPr>
          <w:rFonts w:hint="eastAsia" w:ascii="Times New Roman" w:hAnsi="Times New Roman" w:eastAsia="仿宋_GB2312" w:cs="宋体"/>
          <w:kern w:val="0"/>
          <w:sz w:val="32"/>
          <w:szCs w:val="32"/>
          <w:lang w:val="zh-CN"/>
        </w:rPr>
        <w:t>行政体制改革。深入落实行政</w:t>
      </w:r>
      <w:r>
        <w:rPr>
          <w:rFonts w:hint="eastAsia" w:ascii="Times New Roman" w:hAnsi="Times New Roman" w:eastAsia="仿宋_GB2312" w:cs="宋体"/>
          <w:kern w:val="0"/>
          <w:sz w:val="32"/>
          <w:szCs w:val="30"/>
          <w:lang w:val="zh-CN"/>
        </w:rPr>
        <w:t>体制改革工作，理顺机构改革后的行政关系</w:t>
      </w:r>
      <w:r>
        <w:rPr>
          <w:rFonts w:hint="eastAsia" w:ascii="Times New Roman" w:hAnsi="Times New Roman" w:eastAsia="仿宋_GB2312" w:cs="宋体"/>
          <w:color w:val="auto"/>
          <w:kern w:val="0"/>
          <w:sz w:val="32"/>
          <w:szCs w:val="30"/>
          <w:lang w:val="zh-CN"/>
        </w:rPr>
        <w:t>。</w:t>
      </w:r>
      <w:r>
        <w:rPr>
          <w:rFonts w:hint="eastAsia" w:ascii="Times New Roman" w:hAnsi="Times New Roman" w:eastAsia="仿宋_GB2312" w:cs="宋体"/>
          <w:color w:val="auto"/>
          <w:kern w:val="0"/>
          <w:sz w:val="32"/>
          <w:szCs w:val="30"/>
        </w:rPr>
        <w:t>成立县级行政审批局，统筹开</w:t>
      </w:r>
      <w:r>
        <w:rPr>
          <w:rFonts w:hint="eastAsia" w:ascii="Times New Roman" w:hAnsi="Times New Roman" w:eastAsia="仿宋_GB2312" w:cs="宋体"/>
          <w:kern w:val="0"/>
          <w:sz w:val="32"/>
          <w:szCs w:val="30"/>
        </w:rPr>
        <w:t>展行政审批工作，</w:t>
      </w:r>
      <w:r>
        <w:rPr>
          <w:rFonts w:hint="eastAsia" w:ascii="Times New Roman" w:hAnsi="Times New Roman" w:eastAsia="仿宋_GB2312" w:cs="宋体"/>
          <w:kern w:val="0"/>
          <w:sz w:val="32"/>
          <w:szCs w:val="30"/>
          <w:lang w:val="zh-CN"/>
        </w:rPr>
        <w:t>全面推进一站式服务</w:t>
      </w:r>
      <w:r>
        <w:rPr>
          <w:rFonts w:hint="eastAsia" w:ascii="Times New Roman" w:hAnsi="Times New Roman" w:eastAsia="仿宋_GB2312" w:cs="宋体"/>
          <w:kern w:val="0"/>
          <w:sz w:val="32"/>
          <w:szCs w:val="30"/>
        </w:rPr>
        <w:t>。</w:t>
      </w:r>
      <w:r>
        <w:rPr>
          <w:rFonts w:hint="eastAsia" w:ascii="Times New Roman" w:hAnsi="Times New Roman" w:eastAsia="仿宋_GB2312" w:cs="宋体"/>
          <w:kern w:val="0"/>
          <w:sz w:val="32"/>
          <w:szCs w:val="30"/>
          <w:lang w:val="zh-CN"/>
        </w:rPr>
        <w:t>结合“放管服”及“互联网+政务”工作，加快互联网在政务工作中的应用，推进各类政务资源共享。建立权力清单制度，完善各部门权力清单、责任清单及财政专项资金管理清单动态调整和监管机制，推行企业投资负面清单管理。推进“扩权强镇”，继续下放经济社会管理权限。深化部门预算管理，巩固县级财政改革成果，完善公共财政体系</w:t>
      </w:r>
      <w:r>
        <w:rPr>
          <w:rFonts w:hint="eastAsia" w:ascii="Times New Roman" w:hAnsi="Times New Roman" w:eastAsia="仿宋_GB2312" w:cs="宋体"/>
          <w:kern w:val="0"/>
          <w:sz w:val="32"/>
          <w:szCs w:val="32"/>
          <w:lang w:val="zh-CN"/>
        </w:rPr>
        <w:t>。</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eastAsia="zh-CN"/>
        </w:rPr>
        <w:t>县</w:t>
      </w:r>
      <w:r>
        <w:rPr>
          <w:rFonts w:hint="eastAsia" w:ascii="Times New Roman" w:hAnsi="Times New Roman" w:eastAsia="仿宋_GB2312" w:cs="宋体"/>
          <w:kern w:val="0"/>
          <w:sz w:val="32"/>
          <w:szCs w:val="32"/>
        </w:rPr>
        <w:t>委编办</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w:t>
      </w:r>
      <w:r>
        <w:rPr>
          <w:rFonts w:hint="eastAsia" w:ascii="Times New Roman" w:hAnsi="Times New Roman" w:eastAsia="仿宋_GB2312" w:cs="宋体"/>
          <w:kern w:val="0"/>
          <w:sz w:val="32"/>
          <w:szCs w:val="32"/>
          <w:lang w:val="zh-CN"/>
        </w:rPr>
        <w:t>政务办、县财政局等相关</w:t>
      </w:r>
      <w:r>
        <w:rPr>
          <w:rFonts w:hint="eastAsia" w:ascii="Times New Roman" w:hAnsi="Times New Roman" w:eastAsia="仿宋_GB2312" w:cs="宋体"/>
          <w:kern w:val="0"/>
          <w:sz w:val="32"/>
          <w:szCs w:val="32"/>
        </w:rPr>
        <w:t>单位、</w:t>
      </w:r>
      <w:r>
        <w:rPr>
          <w:rFonts w:hint="eastAsia" w:ascii="Times New Roman" w:hAnsi="Times New Roman" w:eastAsia="仿宋_GB2312" w:cs="宋体"/>
          <w:kern w:val="0"/>
          <w:sz w:val="32"/>
          <w:szCs w:val="32"/>
          <w:lang w:eastAsia="zh-CN"/>
        </w:rPr>
        <w:t>各乡（镇）人民政府〕</w:t>
      </w:r>
    </w:p>
    <w:p w14:paraId="4F566D16">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lang w:val="zh-CN"/>
        </w:rPr>
      </w:pPr>
      <w:r>
        <w:rPr>
          <w:rFonts w:hint="eastAsia" w:ascii="Times New Roman" w:hAnsi="Times New Roman" w:eastAsia="仿宋_GB2312" w:cs="宋体"/>
          <w:kern w:val="0"/>
          <w:sz w:val="32"/>
          <w:szCs w:val="32"/>
        </w:rPr>
        <w:t>推进</w:t>
      </w:r>
      <w:r>
        <w:rPr>
          <w:rFonts w:hint="eastAsia" w:ascii="Times New Roman" w:hAnsi="Times New Roman" w:eastAsia="仿宋_GB2312" w:cs="宋体"/>
          <w:kern w:val="0"/>
          <w:sz w:val="32"/>
          <w:szCs w:val="32"/>
          <w:lang w:val="zh-CN"/>
        </w:rPr>
        <w:t>经济体制改革。</w:t>
      </w:r>
      <w:r>
        <w:rPr>
          <w:rFonts w:hint="eastAsia" w:ascii="Times New Roman" w:hAnsi="Times New Roman" w:eastAsia="仿宋_GB2312" w:cs="宋体"/>
          <w:kern w:val="0"/>
          <w:sz w:val="32"/>
          <w:szCs w:val="30"/>
          <w:lang w:val="zh-CN"/>
        </w:rPr>
        <w:t>主动研究大湾区建设对全州经济社会发展的影响，以便精准施策、谋划项目。强化与升华招商引资、对外合作工作，提高招商项目策划与包装专业化水平与招商对象精确度，扩大招商目标、区域范围，实现引资与引智、引人的结合互补。充分发挥市场在配置资源中的基础性作用，以资源要素市场化改革为重点，通过调整城镇土地使用税、实施差别化地价政策、改革工业用地出让方式、实施差别化电价、水价等措施，完善用地用能等机制体制，促进产业结构调整优化升级。推进园区扩权改革，打造现代产业集聚发展平台，</w:t>
      </w:r>
      <w:r>
        <w:rPr>
          <w:rFonts w:hint="eastAsia" w:ascii="Times New Roman" w:hAnsi="Times New Roman" w:eastAsia="仿宋_GB2312" w:cs="宋体"/>
          <w:kern w:val="0"/>
          <w:sz w:val="32"/>
          <w:szCs w:val="30"/>
        </w:rPr>
        <w:t>组建县级平台公司</w:t>
      </w:r>
      <w:r>
        <w:rPr>
          <w:rFonts w:hint="eastAsia" w:ascii="Times New Roman" w:hAnsi="Times New Roman" w:eastAsia="仿宋_GB2312" w:cs="宋体"/>
          <w:kern w:val="0"/>
          <w:sz w:val="32"/>
          <w:szCs w:val="30"/>
          <w:lang w:val="zh-CN"/>
        </w:rPr>
        <w:t>。深化工商登记制度改革。加快企业信用担保体系建设，引导融资性担保机构加大对中小企业担保。在国家政策允许的范围内全面开放投资领域，多措并举吸引社会资本参与公共产品和公共服务的投资、运营管理。</w:t>
      </w:r>
      <w:r>
        <w:rPr>
          <w:rFonts w:hint="eastAsia" w:ascii="Times New Roman" w:hAnsi="Times New Roman" w:eastAsia="仿宋_GB2312" w:cs="宋体"/>
          <w:color w:val="000000" w:themeColor="text1"/>
          <w:kern w:val="0"/>
          <w:sz w:val="32"/>
          <w:szCs w:val="30"/>
          <w:lang w:val="zh-CN"/>
        </w:rPr>
        <w:t>深入推进税务领域“放管服”改革。打造市场化、法治化、国际化营商环境，推进精确执法、精细服务、精准监管、精诚共治，更好发挥税收在国家治理中的基础性、支柱性、保障性</w:t>
      </w:r>
      <w:r>
        <w:rPr>
          <w:rFonts w:hint="eastAsia" w:ascii="Times New Roman" w:hAnsi="Times New Roman" w:eastAsia="仿宋_GB2312" w:cs="宋体"/>
          <w:kern w:val="0"/>
          <w:sz w:val="32"/>
          <w:szCs w:val="32"/>
          <w:lang w:val="zh-CN"/>
        </w:rPr>
        <w:t>作用，为推动高质量发展、服务国家治理现代化提供有力支撑。</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县发展改革局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县投资促进局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县自然资源局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县市场监管局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县政务办</w:t>
      </w:r>
      <w:r>
        <w:rPr>
          <w:rFonts w:ascii="Times New Roman" w:hAnsi="Times New Roman" w:eastAsia="仿宋_GB2312" w:cs="宋体"/>
          <w:kern w:val="0"/>
          <w:sz w:val="32"/>
          <w:szCs w:val="32"/>
        </w:rPr>
        <w:t>）</w:t>
      </w:r>
    </w:p>
    <w:p w14:paraId="17FD4FDC">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强化</w:t>
      </w:r>
      <w:r>
        <w:rPr>
          <w:rFonts w:hint="eastAsia" w:ascii="Times New Roman" w:hAnsi="Times New Roman" w:eastAsia="仿宋_GB2312" w:cs="宋体"/>
          <w:kern w:val="0"/>
          <w:sz w:val="32"/>
          <w:szCs w:val="32"/>
          <w:lang w:val="zh-CN"/>
        </w:rPr>
        <w:t>要素创新改革。主动与国内高</w:t>
      </w:r>
      <w:r>
        <w:rPr>
          <w:rFonts w:hint="eastAsia" w:ascii="Times New Roman" w:hAnsi="Times New Roman" w:eastAsia="仿宋_GB2312" w:cs="宋体"/>
          <w:kern w:val="0"/>
          <w:sz w:val="32"/>
          <w:szCs w:val="30"/>
          <w:lang w:val="zh-CN"/>
        </w:rPr>
        <w:t>校、科研院所联合建立面向全州产业的技术研发中心、实验基地，与优秀的智力型、知识型、管理型企业建立战略合作关系，为县域经济发展提供系统性、持续性人才、技术、管理、策划、营销等智力服务。</w:t>
      </w:r>
      <w:r>
        <w:rPr>
          <w:rFonts w:hint="eastAsia" w:ascii="Times New Roman" w:hAnsi="Times New Roman" w:eastAsia="仿宋_GB2312" w:cs="宋体"/>
          <w:kern w:val="0"/>
          <w:sz w:val="32"/>
          <w:szCs w:val="30"/>
        </w:rPr>
        <w:t>细化完善体制内退休官员和科技人员再就业制度，允许他们在符合一定条件下被企业或相关机构有偿聘用，以增加全州的高素质劳动力供给。提高土地、劳动力、资本、技术、数据等要素配置效率，激发社会创造力和市场</w:t>
      </w:r>
      <w:r>
        <w:rPr>
          <w:rFonts w:hint="eastAsia" w:ascii="Times New Roman" w:hAnsi="Times New Roman" w:eastAsia="仿宋_GB2312" w:cs="宋体"/>
          <w:kern w:val="0"/>
          <w:sz w:val="32"/>
          <w:szCs w:val="32"/>
        </w:rPr>
        <w:t>活力。</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县人力资源社会保障局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县科技局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63D14D05">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深化农业农村改革。</w:t>
      </w:r>
      <w:r>
        <w:rPr>
          <w:rFonts w:ascii="Times New Roman" w:hAnsi="Times New Roman" w:eastAsia="仿宋_GB2312" w:cs="宋体"/>
          <w:kern w:val="0"/>
          <w:sz w:val="32"/>
          <w:szCs w:val="32"/>
        </w:rPr>
        <w:t>健全城乡融合发展机制，</w:t>
      </w:r>
      <w:r>
        <w:rPr>
          <w:rFonts w:ascii="Times New Roman" w:hAnsi="Times New Roman" w:eastAsia="仿宋_GB2312"/>
          <w:sz w:val="32"/>
          <w:szCs w:val="32"/>
        </w:rPr>
        <w:t>推动城乡要素平等交换、双向流动，增强农业农村发展活力。落实第二轮土地承包到期后再延长三十年政策，加快培育农民合作社、家庭农场等新型农业经营主体，健全农业专业化社会化服务体系，发展多种形式适度规模经营，实现小农户和现代农业有机衔接。</w:t>
      </w:r>
      <w:r>
        <w:rPr>
          <w:rFonts w:hint="eastAsia" w:ascii="Times New Roman" w:hAnsi="Times New Roman" w:eastAsia="仿宋_GB2312" w:cs="宋体"/>
          <w:kern w:val="0"/>
          <w:sz w:val="32"/>
          <w:szCs w:val="30"/>
        </w:rPr>
        <w:t>根据依法、自愿、有偿的原则，推进土地承包经营权流转，加快发展农村土地股份合作、土地信托等新型经营模式，引入现代管理手段和工商资本要素参与现代农业建设，激发农业和农村发展活力。</w:t>
      </w:r>
      <w:r>
        <w:rPr>
          <w:rFonts w:ascii="Times New Roman" w:hAnsi="Times New Roman" w:eastAsia="仿宋_GB2312"/>
          <w:sz w:val="32"/>
          <w:szCs w:val="32"/>
        </w:rPr>
        <w:t>健全城乡统一的建设用地市场，积极探索实施农村集体经营性建设用地入市制度。建立土地征收公共利益用地认定机制，缩小土地征收范围。探索宅基地所有权、资格权、使用权分置实现形式。保障进城落户农民土地承包权、宅基地使用权、集体收益分配权，鼓励依法自愿有偿转让。深化农村集体产权制度改革，发展新型农村集体经济。</w:t>
      </w:r>
      <w:r>
        <w:rPr>
          <w:rFonts w:hint="eastAsia" w:ascii="Times New Roman" w:hAnsi="Times New Roman" w:eastAsia="仿宋_GB2312" w:cs="宋体"/>
          <w:kern w:val="0"/>
          <w:sz w:val="32"/>
          <w:szCs w:val="30"/>
        </w:rPr>
        <w:t>继续完善和深化集体林权制度配套改革。开展果园、林下产业以及林木权证抵押贷款试点。</w:t>
      </w:r>
      <w:r>
        <w:rPr>
          <w:rFonts w:ascii="Times New Roman" w:hAnsi="Times New Roman" w:eastAsia="仿宋_GB2312"/>
          <w:sz w:val="32"/>
          <w:szCs w:val="32"/>
        </w:rPr>
        <w:t>健全农村金融服务体系，发展农</w:t>
      </w:r>
      <w:r>
        <w:rPr>
          <w:rFonts w:ascii="Times New Roman" w:hAnsi="Times New Roman" w:eastAsia="仿宋_GB2312" w:cs="宋体"/>
          <w:kern w:val="0"/>
          <w:sz w:val="32"/>
          <w:szCs w:val="32"/>
        </w:rPr>
        <w:t>业保险。</w:t>
      </w:r>
      <w:r>
        <w:rPr>
          <w:rFonts w:hint="eastAsia" w:ascii="Times New Roman" w:hAnsi="Times New Roman" w:eastAsia="仿宋_GB2312" w:cs="宋体"/>
          <w:kern w:val="0"/>
          <w:sz w:val="32"/>
          <w:szCs w:val="32"/>
        </w:rPr>
        <w:t>健全对被征地农民的合理补偿机制。鼓励富裕起来的农民进城购房居住，引导和推动人口向城市集聚，促进农民就地城镇化。</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县农业农村局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县自然资源局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县住房城乡建设局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48D4D2B3">
      <w:pPr>
        <w:pStyle w:val="27"/>
        <w:overflowPunct w:val="0"/>
        <w:snapToGrid w:val="0"/>
        <w:spacing w:line="360" w:lineRule="auto"/>
        <w:jc w:val="both"/>
        <w:rPr>
          <w:rFonts w:ascii="Times New Roman" w:hAnsi="Times New Roman"/>
          <w:sz w:val="21"/>
          <w:szCs w:val="21"/>
        </w:rPr>
      </w:pPr>
    </w:p>
    <w:p w14:paraId="402322E9">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val="0"/>
        </w:rPr>
      </w:pPr>
      <w:bookmarkStart w:id="92" w:name="_Toc30066"/>
      <w:bookmarkStart w:id="93" w:name="_Toc19881"/>
      <w:bookmarkStart w:id="94" w:name="_Toc2887"/>
      <w:bookmarkStart w:id="95" w:name="_Toc15495"/>
      <w:r>
        <w:rPr>
          <w:rStyle w:val="20"/>
          <w:rFonts w:hint="eastAsia" w:ascii="Times New Roman" w:hAnsi="Times New Roman" w:eastAsia="楷体_GB2312" w:cs="楷体_GB2312"/>
          <w:b w:val="0"/>
          <w:bCs w:val="0"/>
          <w:kern w:val="0"/>
          <w:sz w:val="32"/>
          <w:szCs w:val="32"/>
        </w:rPr>
        <w:t>第二节  优化营商环境</w:t>
      </w:r>
      <w:bookmarkEnd w:id="92"/>
      <w:bookmarkEnd w:id="93"/>
      <w:bookmarkEnd w:id="94"/>
    </w:p>
    <w:p w14:paraId="70B70055">
      <w:pPr>
        <w:overflowPunct w:val="0"/>
        <w:autoSpaceDE w:val="0"/>
        <w:autoSpaceDN w:val="0"/>
        <w:adjustRightInd w:val="0"/>
        <w:snapToGrid w:val="0"/>
        <w:spacing w:line="360" w:lineRule="auto"/>
        <w:ind w:firstLine="396" w:firstLineChars="200"/>
        <w:rPr>
          <w:rFonts w:ascii="Times New Roman" w:hAnsi="Times New Roman" w:eastAsia="仿宋_GB2312" w:cs="宋体"/>
          <w:color w:val="FF0000"/>
          <w:kern w:val="0"/>
          <w:szCs w:val="21"/>
        </w:rPr>
      </w:pPr>
    </w:p>
    <w:p w14:paraId="4AF813FD">
      <w:pPr>
        <w:overflowPunct w:val="0"/>
        <w:autoSpaceDE w:val="0"/>
        <w:autoSpaceDN w:val="0"/>
        <w:adjustRightInd w:val="0"/>
        <w:snapToGrid w:val="0"/>
        <w:spacing w:line="360" w:lineRule="auto"/>
        <w:ind w:firstLine="616" w:firstLineChars="200"/>
        <w:rPr>
          <w:rFonts w:ascii="Times New Roman" w:hAnsi="Times New Roman" w:eastAsia="仿宋_GB2312" w:cs="宋体"/>
          <w:color w:val="000000" w:themeColor="text1"/>
          <w:kern w:val="0"/>
          <w:sz w:val="32"/>
          <w:szCs w:val="32"/>
        </w:rPr>
      </w:pPr>
      <w:r>
        <w:rPr>
          <w:rFonts w:ascii="Times New Roman" w:hAnsi="Times New Roman" w:eastAsia="仿宋_GB2312" w:cs="宋体"/>
          <w:color w:val="000000" w:themeColor="text1"/>
          <w:kern w:val="0"/>
          <w:sz w:val="32"/>
          <w:szCs w:val="32"/>
        </w:rPr>
        <w:t>要继续深化改革，坚持“两个毫不动摇”，优化营商环境。</w:t>
      </w:r>
    </w:p>
    <w:p w14:paraId="215DDBC8">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ascii="Times New Roman" w:hAnsi="Times New Roman" w:eastAsia="仿宋_GB2312" w:cs="宋体"/>
          <w:kern w:val="0"/>
          <w:sz w:val="32"/>
          <w:szCs w:val="32"/>
        </w:rPr>
        <w:t>加快简政放权，营造透明高效的制度环境。</w:t>
      </w:r>
      <w:r>
        <w:rPr>
          <w:rFonts w:hint="eastAsia" w:ascii="Times New Roman" w:hAnsi="Times New Roman" w:eastAsia="仿宋_GB2312" w:cs="宋体"/>
          <w:kern w:val="0"/>
          <w:sz w:val="32"/>
          <w:szCs w:val="32"/>
        </w:rPr>
        <w:t>协同推进更大规模减税降费和“放管服”改革，着力清理各类审批许可事项，规范监管</w:t>
      </w:r>
      <w:r>
        <w:rPr>
          <w:rFonts w:hint="eastAsia" w:ascii="Times New Roman" w:hAnsi="Times New Roman" w:eastAsia="仿宋_GB2312" w:cs="宋体"/>
          <w:kern w:val="0"/>
          <w:sz w:val="32"/>
          <w:szCs w:val="30"/>
        </w:rPr>
        <w:t>行为，治理各种不合理收费，形成优化营商环境的合力，持续改善和优化营商环境。</w:t>
      </w:r>
      <w:r>
        <w:rPr>
          <w:rFonts w:ascii="Times New Roman" w:hAnsi="Times New Roman" w:eastAsia="仿宋_GB2312" w:cs="宋体"/>
          <w:kern w:val="0"/>
          <w:sz w:val="32"/>
          <w:szCs w:val="30"/>
        </w:rPr>
        <w:t>进一步</w:t>
      </w:r>
      <w:r>
        <w:rPr>
          <w:rFonts w:hint="eastAsia" w:ascii="Times New Roman" w:hAnsi="Times New Roman" w:eastAsia="仿宋_GB2312" w:cs="宋体"/>
          <w:kern w:val="0"/>
          <w:sz w:val="32"/>
          <w:szCs w:val="30"/>
        </w:rPr>
        <w:t>落实</w:t>
      </w:r>
      <w:r>
        <w:rPr>
          <w:rFonts w:ascii="Times New Roman" w:hAnsi="Times New Roman" w:eastAsia="仿宋_GB2312" w:cs="宋体"/>
          <w:kern w:val="0"/>
          <w:sz w:val="32"/>
          <w:szCs w:val="30"/>
        </w:rPr>
        <w:t>“放管服”改革，加快投资项目审批改革，实行企业投资项目承诺制、容缺受理制，从减少行政审批事项入手，推动由行政分权向市场放权转变，由部门放权向社会放权转变。</w:t>
      </w:r>
      <w:r>
        <w:rPr>
          <w:rFonts w:hint="eastAsia" w:ascii="Times New Roman" w:hAnsi="Times New Roman" w:eastAsia="仿宋_GB2312" w:cs="宋体"/>
          <w:kern w:val="0"/>
          <w:sz w:val="32"/>
          <w:szCs w:val="30"/>
        </w:rPr>
        <w:t>通过综合运用政务会审、技术会审、网上受理、并联审批、统一发证等运行机制，在开办、立项、报建、验收阶段为重点投资项目提供特办、代办、协办一条龙保姆式服务，进一步放宽市场准入，大力压减行政许可和整治各类变相审批，持续为市场主体松绑、铺路。</w:t>
      </w:r>
      <w:r>
        <w:rPr>
          <w:rFonts w:ascii="Times New Roman" w:hAnsi="Times New Roman" w:eastAsia="仿宋_GB2312" w:cs="宋体"/>
          <w:kern w:val="0"/>
          <w:sz w:val="32"/>
          <w:szCs w:val="30"/>
        </w:rPr>
        <w:t>系统整合涉企审批、核准、备案流程，加快实现“多证合一”、“一站式受理”</w:t>
      </w:r>
      <w:r>
        <w:rPr>
          <w:rFonts w:hint="eastAsia" w:ascii="Times New Roman" w:hAnsi="Times New Roman" w:eastAsia="仿宋_GB2312" w:cs="宋体"/>
          <w:kern w:val="0"/>
          <w:sz w:val="32"/>
          <w:szCs w:val="30"/>
        </w:rPr>
        <w:t>。</w:t>
      </w:r>
      <w:r>
        <w:rPr>
          <w:rFonts w:ascii="Times New Roman" w:hAnsi="Times New Roman" w:eastAsia="仿宋_GB2312" w:cs="宋体"/>
          <w:kern w:val="0"/>
          <w:sz w:val="32"/>
          <w:szCs w:val="30"/>
        </w:rPr>
        <w:t>清理规范行政事业性收费和中介服务收费，提高行政审批效率。进一步深化商事制度改革，全面推行权力清单、责任清单、市场准入负面清单制度，放宽市场准入，简化审批程序，引导和鼓励民间资本和各类产业投资基金投资老旧小区改造以及医疗、教育等社会事业领域。</w:t>
      </w:r>
      <w:r>
        <w:rPr>
          <w:rFonts w:hint="eastAsia" w:ascii="Times New Roman" w:hAnsi="Times New Roman" w:eastAsia="仿宋_GB2312" w:cs="宋体"/>
          <w:kern w:val="0"/>
          <w:sz w:val="32"/>
          <w:szCs w:val="30"/>
        </w:rPr>
        <w:t>加快健全社会信用体系、提升信息公开透明度。</w:t>
      </w:r>
      <w:r>
        <w:rPr>
          <w:rFonts w:ascii="Times New Roman" w:hAnsi="Times New Roman" w:eastAsia="仿宋_GB2312" w:cs="宋体"/>
          <w:kern w:val="0"/>
          <w:sz w:val="32"/>
          <w:szCs w:val="30"/>
        </w:rPr>
        <w:t>加快</w:t>
      </w:r>
      <w:r>
        <w:rPr>
          <w:rFonts w:ascii="Times New Roman" w:hAnsi="Times New Roman" w:eastAsia="仿宋_GB2312" w:cs="宋体"/>
          <w:kern w:val="0"/>
          <w:sz w:val="32"/>
          <w:szCs w:val="32"/>
        </w:rPr>
        <w:t>推进企业简易注销登记改革</w:t>
      </w:r>
      <w:r>
        <w:rPr>
          <w:rFonts w:hint="eastAsia" w:ascii="Times New Roman" w:hAnsi="Times New Roman" w:eastAsia="仿宋_GB2312" w:cs="宋体"/>
          <w:kern w:val="0"/>
          <w:sz w:val="32"/>
          <w:szCs w:val="32"/>
        </w:rPr>
        <w:t>，完善市场主体的退出通道，促进优胜劣汰。</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县发展改革局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县政务办</w:t>
      </w:r>
      <w:r>
        <w:rPr>
          <w:rFonts w:hint="eastAsia" w:ascii="Times New Roman" w:hAnsi="Times New Roman" w:eastAsia="仿宋_GB2312" w:cs="宋体"/>
          <w:kern w:val="0"/>
          <w:sz w:val="32"/>
          <w:szCs w:val="32"/>
        </w:rPr>
        <w:t>、各相关部门、</w:t>
      </w:r>
      <w:r>
        <w:rPr>
          <w:rFonts w:hint="eastAsia" w:ascii="Times New Roman" w:hAnsi="Times New Roman" w:eastAsia="仿宋_GB2312" w:cs="宋体"/>
          <w:kern w:val="0"/>
          <w:sz w:val="32"/>
          <w:szCs w:val="32"/>
          <w:lang w:eastAsia="zh-CN"/>
        </w:rPr>
        <w:t>各乡（镇）人民政府〕</w:t>
      </w:r>
    </w:p>
    <w:p w14:paraId="2C93D258">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ascii="Times New Roman" w:hAnsi="Times New Roman" w:eastAsia="仿宋_GB2312" w:cs="宋体"/>
          <w:kern w:val="0"/>
          <w:sz w:val="32"/>
          <w:szCs w:val="32"/>
        </w:rPr>
        <w:t>加强市场监管，营造规范有序的市场环境。依托国家</w:t>
      </w:r>
      <w:r>
        <w:rPr>
          <w:rFonts w:hint="eastAsia" w:ascii="Times New Roman" w:hAnsi="Times New Roman" w:eastAsia="仿宋_GB2312" w:cs="宋体"/>
          <w:kern w:val="0"/>
          <w:sz w:val="32"/>
          <w:szCs w:val="32"/>
          <w:lang w:eastAsia="zh-CN"/>
        </w:rPr>
        <w:t>“</w:t>
      </w:r>
      <w:r>
        <w:rPr>
          <w:rFonts w:ascii="Times New Roman" w:hAnsi="Times New Roman" w:eastAsia="仿宋_GB2312" w:cs="宋体"/>
          <w:kern w:val="0"/>
          <w:sz w:val="32"/>
          <w:szCs w:val="32"/>
        </w:rPr>
        <w:t>互联网+监管</w:t>
      </w:r>
      <w:r>
        <w:rPr>
          <w:rFonts w:hint="eastAsia" w:ascii="Times New Roman" w:hAnsi="Times New Roman" w:eastAsia="仿宋_GB2312" w:cs="宋体"/>
          <w:kern w:val="0"/>
          <w:sz w:val="32"/>
          <w:szCs w:val="32"/>
          <w:lang w:eastAsia="zh-CN"/>
        </w:rPr>
        <w:t>”</w:t>
      </w:r>
      <w:r>
        <w:rPr>
          <w:rFonts w:ascii="Times New Roman" w:hAnsi="Times New Roman" w:eastAsia="仿宋_GB2312" w:cs="宋体"/>
          <w:kern w:val="0"/>
          <w:sz w:val="32"/>
          <w:szCs w:val="32"/>
        </w:rPr>
        <w:t>系统，依法设立市场主体信用</w:t>
      </w:r>
      <w:r>
        <w:rPr>
          <w:rFonts w:hint="eastAsia" w:ascii="Times New Roman" w:hAnsi="Times New Roman" w:eastAsia="仿宋_GB2312" w:cs="宋体"/>
          <w:kern w:val="0"/>
          <w:sz w:val="32"/>
          <w:szCs w:val="32"/>
          <w:lang w:eastAsia="zh-CN"/>
        </w:rPr>
        <w:t>“</w:t>
      </w:r>
      <w:r>
        <w:rPr>
          <w:rFonts w:ascii="Times New Roman" w:hAnsi="Times New Roman" w:eastAsia="仿宋_GB2312" w:cs="宋体"/>
          <w:kern w:val="0"/>
          <w:sz w:val="32"/>
          <w:szCs w:val="32"/>
        </w:rPr>
        <w:t>黑名单</w:t>
      </w:r>
      <w:r>
        <w:rPr>
          <w:rFonts w:hint="eastAsia" w:ascii="Times New Roman" w:hAnsi="Times New Roman" w:eastAsia="仿宋_GB2312" w:cs="宋体"/>
          <w:kern w:val="0"/>
          <w:sz w:val="32"/>
          <w:szCs w:val="32"/>
          <w:lang w:eastAsia="zh-CN"/>
        </w:rPr>
        <w:t>”</w:t>
      </w:r>
      <w:r>
        <w:rPr>
          <w:rFonts w:ascii="Times New Roman" w:hAnsi="Times New Roman" w:eastAsia="仿宋_GB2312" w:cs="宋体"/>
          <w:kern w:val="0"/>
          <w:sz w:val="32"/>
          <w:szCs w:val="32"/>
        </w:rPr>
        <w:t>制度，</w:t>
      </w:r>
      <w:r>
        <w:rPr>
          <w:rFonts w:ascii="Times New Roman" w:hAnsi="Times New Roman" w:eastAsia="仿宋_GB2312" w:cs="宋体"/>
          <w:kern w:val="0"/>
          <w:sz w:val="32"/>
          <w:szCs w:val="30"/>
        </w:rPr>
        <w:t>提升信用监管效能。加快大数据、人工智能、区块链等新一代信息技术在市场监管领域的推广应用，加强对风险事项的跟踪预警。利用物联网、射频识别等新兴技术对食品、药品、危化品等重点领域建立健</w:t>
      </w:r>
      <w:r>
        <w:rPr>
          <w:rFonts w:ascii="Times New Roman" w:hAnsi="Times New Roman" w:eastAsia="仿宋_GB2312" w:cs="宋体"/>
          <w:kern w:val="0"/>
          <w:sz w:val="32"/>
          <w:szCs w:val="32"/>
        </w:rPr>
        <w:t>全产品安全生产及质量追溯体系，加强对重点领域的全流程监管水平。</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县市场监管局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县公安局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74FE4DC8">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ascii="Times New Roman" w:hAnsi="Times New Roman" w:eastAsia="仿宋_GB2312" w:cs="宋体"/>
          <w:kern w:val="0"/>
          <w:sz w:val="32"/>
          <w:szCs w:val="32"/>
        </w:rPr>
        <w:t>持续优化服务，营造亲商便民的政务环境。要优</w:t>
      </w:r>
      <w:r>
        <w:rPr>
          <w:rFonts w:ascii="Times New Roman" w:hAnsi="Times New Roman" w:eastAsia="仿宋_GB2312" w:cs="宋体"/>
          <w:kern w:val="0"/>
          <w:sz w:val="32"/>
          <w:szCs w:val="30"/>
        </w:rPr>
        <w:t>化企业服务体系，培育发展行业协会、商会等经济类社会组织，积极壮大各类专业服务机构。</w:t>
      </w:r>
      <w:r>
        <w:rPr>
          <w:rFonts w:hint="eastAsia" w:ascii="Times New Roman" w:hAnsi="Times New Roman" w:eastAsia="仿宋_GB2312" w:cs="宋体"/>
          <w:kern w:val="0"/>
          <w:sz w:val="32"/>
          <w:szCs w:val="30"/>
        </w:rPr>
        <w:t>改善软硬服务环境，建立“互联网+政务服务”平台，延伸政务服务到基层，扩大政务服务范围，实现政务服务县、乡、村三级覆盖。</w:t>
      </w:r>
      <w:r>
        <w:rPr>
          <w:rFonts w:ascii="Times New Roman" w:hAnsi="Times New Roman" w:eastAsia="仿宋_GB2312" w:cs="宋体"/>
          <w:kern w:val="0"/>
          <w:sz w:val="32"/>
          <w:szCs w:val="30"/>
        </w:rPr>
        <w:t>加快各种新技术手段在政务服务中的应用，提升行政服务大厅、在线审批平台、政策查询平台、项目申请平台等服务效能，实现各类行政审批事项和公共服务“一窗受理”</w:t>
      </w:r>
      <w:r>
        <w:rPr>
          <w:rFonts w:hint="eastAsia" w:ascii="Times New Roman" w:hAnsi="Times New Roman" w:eastAsia="仿宋_GB2312" w:cs="宋体"/>
          <w:kern w:val="0"/>
          <w:sz w:val="32"/>
          <w:szCs w:val="30"/>
          <w:lang w:eastAsia="zh-CN"/>
        </w:rPr>
        <w:t>、</w:t>
      </w:r>
      <w:r>
        <w:rPr>
          <w:rFonts w:ascii="Times New Roman" w:hAnsi="Times New Roman" w:eastAsia="仿宋_GB2312" w:cs="宋体"/>
          <w:kern w:val="0"/>
          <w:sz w:val="32"/>
          <w:szCs w:val="30"/>
        </w:rPr>
        <w:t>“一网通办”。让数据多跑路、企业群众少跑路，提升企业的便利度和获得感。</w:t>
      </w:r>
      <w:r>
        <w:rPr>
          <w:rFonts w:hint="eastAsia" w:ascii="Times New Roman" w:hAnsi="Times New Roman" w:eastAsia="仿宋_GB2312" w:cs="宋体"/>
          <w:kern w:val="0"/>
          <w:sz w:val="32"/>
          <w:szCs w:val="30"/>
        </w:rPr>
        <w:t>加大对广大干部服务意识和服务技能培训，着力提升服</w:t>
      </w:r>
      <w:r>
        <w:rPr>
          <w:rFonts w:hint="eastAsia" w:ascii="Times New Roman" w:hAnsi="Times New Roman" w:eastAsia="仿宋_GB2312" w:cs="宋体"/>
          <w:kern w:val="0"/>
          <w:sz w:val="32"/>
          <w:szCs w:val="32"/>
        </w:rPr>
        <w:t>务意识培养和服务技能提升，切实完成从管理者到服务员的角色转换。</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县政务办、县民政局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rPr>
        <w:t>各部门、</w:t>
      </w:r>
      <w:r>
        <w:rPr>
          <w:rFonts w:hint="eastAsia" w:ascii="Times New Roman" w:hAnsi="Times New Roman" w:eastAsia="仿宋_GB2312" w:cs="宋体"/>
          <w:kern w:val="0"/>
          <w:sz w:val="32"/>
          <w:szCs w:val="32"/>
          <w:lang w:eastAsia="zh-CN"/>
        </w:rPr>
        <w:t>各乡（镇）人民政府〕</w:t>
      </w:r>
    </w:p>
    <w:p w14:paraId="33B40B3A">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ascii="Times New Roman" w:hAnsi="Times New Roman" w:eastAsia="仿宋_GB2312" w:cs="宋体"/>
          <w:kern w:val="0"/>
          <w:sz w:val="32"/>
          <w:szCs w:val="32"/>
        </w:rPr>
        <w:t>坚持依法行政，营造公平公正稳定的法治环境。建立以保障良好营商环境为主旨的公正严明执法体系，完善行政执法部门</w:t>
      </w:r>
      <w:r>
        <w:rPr>
          <w:rFonts w:ascii="Times New Roman" w:hAnsi="Times New Roman" w:eastAsia="仿宋_GB2312" w:cs="宋体"/>
          <w:kern w:val="0"/>
          <w:sz w:val="32"/>
          <w:szCs w:val="30"/>
        </w:rPr>
        <w:t>执法程序，依法严肃查处各种扰乱市场秩序的违法违规行为。严格对行政权力的制约和监督。严格公正司法运行体系，不断提高审判质效。加强社会信用体系及企业信用平台建设，建立健全守信践诺机制和失信惩戒制度。强化政府依法行政和诚信意识，</w:t>
      </w:r>
      <w:r>
        <w:rPr>
          <w:rFonts w:ascii="Times New Roman" w:hAnsi="Times New Roman" w:eastAsia="仿宋_GB2312" w:cs="宋体"/>
          <w:kern w:val="0"/>
          <w:sz w:val="32"/>
          <w:szCs w:val="32"/>
        </w:rPr>
        <w:t>确保相关政策的稳定性和连续性，推动形成稳定、可预期的市场环境。</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县市场监管局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县公安局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5FD03D3F">
      <w:pPr>
        <w:pStyle w:val="27"/>
        <w:overflowPunct w:val="0"/>
        <w:snapToGrid w:val="0"/>
        <w:spacing w:line="360" w:lineRule="auto"/>
        <w:jc w:val="both"/>
        <w:rPr>
          <w:rFonts w:ascii="Times New Roman" w:hAnsi="Times New Roman"/>
          <w:sz w:val="21"/>
          <w:szCs w:val="21"/>
        </w:rPr>
      </w:pPr>
    </w:p>
    <w:p w14:paraId="545918E8">
      <w:pPr>
        <w:overflowPunct w:val="0"/>
        <w:autoSpaceDE w:val="0"/>
        <w:autoSpaceDN w:val="0"/>
        <w:adjustRightInd w:val="0"/>
        <w:snapToGrid w:val="0"/>
        <w:spacing w:line="360" w:lineRule="auto"/>
        <w:jc w:val="center"/>
        <w:outlineLvl w:val="1"/>
        <w:rPr>
          <w:rFonts w:hint="eastAsia" w:ascii="Times New Roman" w:hAnsi="Times New Roman" w:eastAsia="楷体_GB2312" w:cs="楷体_GB2312"/>
          <w:b w:val="0"/>
          <w:bCs w:val="0"/>
          <w:kern w:val="0"/>
          <w:sz w:val="32"/>
          <w:szCs w:val="30"/>
        </w:rPr>
      </w:pPr>
      <w:bookmarkStart w:id="96" w:name="_Toc21396"/>
      <w:bookmarkStart w:id="97" w:name="_Toc25914"/>
      <w:r>
        <w:rPr>
          <w:rStyle w:val="20"/>
          <w:rFonts w:hint="eastAsia" w:ascii="Times New Roman" w:hAnsi="Times New Roman" w:eastAsia="楷体_GB2312" w:cs="楷体_GB2312"/>
          <w:b w:val="0"/>
          <w:bCs w:val="0"/>
          <w:kern w:val="0"/>
          <w:sz w:val="32"/>
          <w:szCs w:val="32"/>
        </w:rPr>
        <w:t>第三节  强化招商引资</w:t>
      </w:r>
      <w:bookmarkEnd w:id="95"/>
      <w:bookmarkEnd w:id="96"/>
      <w:bookmarkEnd w:id="97"/>
    </w:p>
    <w:p w14:paraId="60E9463D">
      <w:pPr>
        <w:overflowPunct w:val="0"/>
        <w:autoSpaceDE w:val="0"/>
        <w:autoSpaceDN w:val="0"/>
        <w:adjustRightInd w:val="0"/>
        <w:snapToGrid w:val="0"/>
        <w:spacing w:line="360" w:lineRule="auto"/>
        <w:ind w:firstLine="396" w:firstLineChars="200"/>
        <w:rPr>
          <w:rFonts w:ascii="Times New Roman" w:hAnsi="Times New Roman" w:eastAsia="仿宋_GB2312" w:cs="宋体"/>
          <w:kern w:val="0"/>
          <w:szCs w:val="21"/>
        </w:rPr>
      </w:pPr>
    </w:p>
    <w:p w14:paraId="0686FF4F">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0"/>
        </w:rPr>
      </w:pPr>
      <w:r>
        <w:rPr>
          <w:rFonts w:hint="eastAsia" w:ascii="Times New Roman" w:hAnsi="Times New Roman" w:eastAsia="仿宋_GB2312" w:cs="宋体"/>
          <w:kern w:val="0"/>
          <w:sz w:val="32"/>
          <w:szCs w:val="30"/>
        </w:rPr>
        <w:t>围绕争创国家级生态县，</w:t>
      </w:r>
      <w:r>
        <w:rPr>
          <w:rFonts w:hint="eastAsia" w:ascii="Times New Roman" w:hAnsi="Times New Roman" w:eastAsia="仿宋_GB2312" w:cs="宋体"/>
          <w:color w:val="000000" w:themeColor="text1"/>
          <w:kern w:val="0"/>
          <w:sz w:val="32"/>
          <w:szCs w:val="30"/>
        </w:rPr>
        <w:t>以产业大招商、承接产业转移、资源开发、城市建设、园区建设和人才引进</w:t>
      </w:r>
      <w:r>
        <w:rPr>
          <w:rFonts w:hint="eastAsia" w:ascii="Times New Roman" w:hAnsi="Times New Roman" w:eastAsia="仿宋_GB2312" w:cs="宋体"/>
          <w:kern w:val="0"/>
          <w:sz w:val="32"/>
          <w:szCs w:val="30"/>
        </w:rPr>
        <w:t>为重点，谋划和储备一批关联度高带动性强的招商项目，建立充实招商引资项目库。创新招商引资模式，以健康产业及旅游产业为导向，重点引进一批低耗能、低污染、高附加值的企业，增强经济发展后劲和可持续发展能力。强化项目服务，提高项目履约率、开竣工率、资金到位率，提高招商引资质量。</w:t>
      </w:r>
    </w:p>
    <w:p w14:paraId="07C8FFFE">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强化招商引资领导。加强</w:t>
      </w:r>
      <w:r>
        <w:rPr>
          <w:rFonts w:hint="eastAsia" w:ascii="Times New Roman" w:hAnsi="Times New Roman" w:eastAsia="仿宋_GB2312" w:cs="宋体"/>
          <w:kern w:val="0"/>
          <w:sz w:val="32"/>
          <w:szCs w:val="30"/>
        </w:rPr>
        <w:t>县招商引资领导小组力量，一把手亲自抓、负总责；出台相关配套文件，进一步优化工作开展和项目推进机制，明确招商引资目标任务分解及考评办法，规范线索推进、投资洽谈和项目入驻审批流程，推动项目线索快速转化、在谈项目快速推进，为全县招商引资有序、高效开展提供机制保障。</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县投资促进局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县政务办</w:t>
      </w:r>
      <w:r>
        <w:rPr>
          <w:rFonts w:hint="eastAsia" w:ascii="Times New Roman" w:hAnsi="Times New Roman" w:eastAsia="仿宋_GB2312" w:cs="宋体"/>
          <w:kern w:val="0"/>
          <w:sz w:val="32"/>
          <w:szCs w:val="32"/>
        </w:rPr>
        <w:t>、各部门、</w:t>
      </w:r>
      <w:r>
        <w:rPr>
          <w:rFonts w:hint="eastAsia" w:ascii="Times New Roman" w:hAnsi="Times New Roman" w:eastAsia="仿宋_GB2312" w:cs="宋体"/>
          <w:kern w:val="0"/>
          <w:sz w:val="32"/>
          <w:szCs w:val="32"/>
          <w:lang w:eastAsia="zh-CN"/>
        </w:rPr>
        <w:t>各乡（镇）人民政府〕</w:t>
      </w:r>
    </w:p>
    <w:p w14:paraId="201037E9">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立足主导产业抓招商，突出精准招商。坚持产业</w:t>
      </w:r>
      <w:r>
        <w:rPr>
          <w:rFonts w:hint="eastAsia" w:ascii="Times New Roman" w:hAnsi="Times New Roman" w:eastAsia="仿宋_GB2312" w:cs="宋体"/>
          <w:color w:val="000000" w:themeColor="text1"/>
          <w:kern w:val="0"/>
          <w:sz w:val="32"/>
          <w:szCs w:val="30"/>
        </w:rPr>
        <w:t>培育和项目招引并重，紧紧围绕主导产业开展项目招引，着力打造1-2个特色产业集群;制作“产业树”</w:t>
      </w:r>
      <w:r>
        <w:rPr>
          <w:rFonts w:hint="eastAsia" w:ascii="Times New Roman" w:hAnsi="Times New Roman" w:eastAsia="仿宋_GB2312" w:cs="宋体"/>
          <w:color w:val="000000" w:themeColor="text1"/>
          <w:kern w:val="0"/>
          <w:sz w:val="32"/>
          <w:szCs w:val="30"/>
          <w:lang w:eastAsia="zh-CN"/>
        </w:rPr>
        <w:t>，</w:t>
      </w:r>
      <w:r>
        <w:rPr>
          <w:rFonts w:hint="eastAsia" w:ascii="Times New Roman" w:hAnsi="Times New Roman" w:eastAsia="仿宋_GB2312" w:cs="宋体"/>
          <w:color w:val="000000" w:themeColor="text1"/>
          <w:kern w:val="0"/>
          <w:sz w:val="32"/>
          <w:szCs w:val="30"/>
        </w:rPr>
        <w:t>绘制“产业链全景图”</w:t>
      </w:r>
      <w:r>
        <w:rPr>
          <w:rFonts w:hint="eastAsia" w:ascii="Times New Roman" w:hAnsi="Times New Roman" w:eastAsia="仿宋_GB2312" w:cs="宋体"/>
          <w:color w:val="000000" w:themeColor="text1"/>
          <w:kern w:val="0"/>
          <w:sz w:val="32"/>
          <w:szCs w:val="30"/>
          <w:lang w:eastAsia="zh-CN"/>
        </w:rPr>
        <w:t>，</w:t>
      </w:r>
      <w:r>
        <w:rPr>
          <w:rFonts w:hint="eastAsia" w:ascii="Times New Roman" w:hAnsi="Times New Roman" w:eastAsia="仿宋_GB2312" w:cs="宋体"/>
          <w:color w:val="000000" w:themeColor="text1"/>
          <w:kern w:val="0"/>
          <w:sz w:val="32"/>
          <w:szCs w:val="30"/>
        </w:rPr>
        <w:t>本着“缺什么补什么、弱什么强什么”的要求开展精准产业大招商活动，围绕粤港澳大湾区、京津冀等重点区域的重点产业，制作“产业招商地图”， 精心选择目标企业，开展精准对接洽谈，不断增强产业集聚，培育和壮大主导产业。立足</w:t>
      </w:r>
      <w:r>
        <w:rPr>
          <w:rFonts w:hint="eastAsia" w:ascii="Times New Roman" w:hAnsi="Times New Roman" w:eastAsia="仿宋_GB2312" w:cs="宋体"/>
          <w:color w:val="000000" w:themeColor="text1"/>
          <w:sz w:val="32"/>
          <w:szCs w:val="30"/>
        </w:rPr>
        <w:t>健康食品加工、中药材加工、机械制造、精品碳酸钙、电子信息、汽车、高端家具家居材料、新型节能建材</w:t>
      </w:r>
      <w:r>
        <w:rPr>
          <w:rFonts w:hint="eastAsia" w:ascii="Times New Roman" w:hAnsi="Times New Roman" w:eastAsia="仿宋_GB2312" w:cs="宋体"/>
          <w:color w:val="000000" w:themeColor="text1"/>
          <w:kern w:val="0"/>
          <w:sz w:val="32"/>
          <w:szCs w:val="30"/>
        </w:rPr>
        <w:t>等产业</w:t>
      </w:r>
      <w:r>
        <w:rPr>
          <w:rFonts w:hint="eastAsia" w:ascii="Times New Roman" w:hAnsi="Times New Roman" w:eastAsia="仿宋_GB2312" w:cs="宋体"/>
          <w:kern w:val="0"/>
          <w:sz w:val="32"/>
          <w:szCs w:val="30"/>
        </w:rPr>
        <w:t>基础，开展“建链、补链、延链、强链”，</w:t>
      </w:r>
      <w:r>
        <w:rPr>
          <w:rFonts w:hint="eastAsia" w:ascii="Times New Roman" w:hAnsi="Times New Roman" w:eastAsia="仿宋_GB2312" w:cs="宋体"/>
          <w:kern w:val="0"/>
          <w:sz w:val="32"/>
          <w:szCs w:val="32"/>
        </w:rPr>
        <w:t>主攻上下游协作配套项目，不断提升产业契合度，推动产业集群发展。</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县投资促进局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县工业和信息化局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4053491E">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引导全州籍客商回乡创业。近年</w:t>
      </w:r>
      <w:r>
        <w:rPr>
          <w:rFonts w:hint="eastAsia" w:ascii="Times New Roman" w:hAnsi="Times New Roman" w:eastAsia="仿宋_GB2312" w:cs="宋体"/>
          <w:kern w:val="0"/>
          <w:sz w:val="32"/>
          <w:szCs w:val="30"/>
        </w:rPr>
        <w:t>来，全州籍客商在外地经商越来越多，且在多个领域都有杰出的表现，有的已成为国家级乃至世界级企业的领导者，在外全州籍客商是全县招商引资最宝贵的资源，是经济转型升级的主力军。要充分利用广大在外全州籍客商的人脉优势、资金优势、信息优势、技术优势，</w:t>
      </w:r>
      <w:r>
        <w:rPr>
          <w:rFonts w:hint="eastAsia" w:ascii="Times New Roman" w:hAnsi="Times New Roman" w:eastAsia="仿宋_GB2312" w:cs="宋体"/>
          <w:kern w:val="0"/>
          <w:sz w:val="32"/>
          <w:szCs w:val="32"/>
        </w:rPr>
        <w:t>吸引他们直接投资或间接投资、介绍投资，支持全县经济社会发展。</w:t>
      </w:r>
      <w:bookmarkStart w:id="98" w:name="_Toc1135"/>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县投资促进局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县人力资源社会保障局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413DC74E">
      <w:pPr>
        <w:pStyle w:val="16"/>
        <w:overflowPunct w:val="0"/>
        <w:autoSpaceDE w:val="0"/>
        <w:autoSpaceDN w:val="0"/>
        <w:adjustRightInd w:val="0"/>
        <w:snapToGrid w:val="0"/>
        <w:spacing w:after="0" w:line="360" w:lineRule="auto"/>
        <w:ind w:firstLine="394"/>
        <w:rPr>
          <w:rFonts w:ascii="Times New Roman" w:hAnsi="Times New Roman"/>
          <w:szCs w:val="21"/>
        </w:rPr>
      </w:pPr>
    </w:p>
    <w:p w14:paraId="79950C2C">
      <w:pPr>
        <w:overflowPunct w:val="0"/>
        <w:autoSpaceDE w:val="0"/>
        <w:autoSpaceDN w:val="0"/>
        <w:adjustRightInd w:val="0"/>
        <w:snapToGrid w:val="0"/>
        <w:spacing w:line="360" w:lineRule="auto"/>
        <w:jc w:val="center"/>
        <w:outlineLvl w:val="1"/>
        <w:rPr>
          <w:rStyle w:val="20"/>
          <w:rFonts w:hint="eastAsia" w:ascii="Times New Roman" w:hAnsi="Times New Roman" w:eastAsia="楷体_GB2312" w:cs="楷体_GB2312"/>
          <w:b w:val="0"/>
          <w:bCs w:val="0"/>
          <w:kern w:val="0"/>
          <w:sz w:val="32"/>
          <w:szCs w:val="32"/>
        </w:rPr>
      </w:pPr>
      <w:bookmarkStart w:id="99" w:name="_Toc10174"/>
      <w:bookmarkStart w:id="100" w:name="_Toc12359"/>
      <w:bookmarkStart w:id="101" w:name="_Toc13275"/>
      <w:r>
        <w:rPr>
          <w:rStyle w:val="20"/>
          <w:rFonts w:hint="eastAsia" w:ascii="Times New Roman" w:hAnsi="Times New Roman" w:eastAsia="楷体_GB2312" w:cs="楷体_GB2312"/>
          <w:b w:val="0"/>
          <w:bCs w:val="0"/>
          <w:kern w:val="0"/>
          <w:sz w:val="32"/>
          <w:szCs w:val="32"/>
        </w:rPr>
        <w:t xml:space="preserve">第四节  </w:t>
      </w:r>
      <w:bookmarkEnd w:id="98"/>
      <w:bookmarkEnd w:id="99"/>
      <w:bookmarkEnd w:id="100"/>
      <w:bookmarkStart w:id="102" w:name="_Toc19"/>
      <w:bookmarkStart w:id="103" w:name="_Toc11675"/>
      <w:bookmarkStart w:id="104" w:name="_Toc29669"/>
      <w:r>
        <w:rPr>
          <w:rStyle w:val="20"/>
          <w:rFonts w:hint="eastAsia" w:ascii="Times New Roman" w:hAnsi="Times New Roman" w:eastAsia="楷体_GB2312" w:cs="楷体_GB2312"/>
          <w:b w:val="0"/>
          <w:bCs w:val="0"/>
          <w:kern w:val="0"/>
          <w:sz w:val="32"/>
          <w:szCs w:val="32"/>
        </w:rPr>
        <w:t>推进创新创业</w:t>
      </w:r>
      <w:bookmarkEnd w:id="101"/>
      <w:bookmarkEnd w:id="102"/>
      <w:bookmarkEnd w:id="103"/>
      <w:bookmarkEnd w:id="104"/>
    </w:p>
    <w:p w14:paraId="3979ED2A">
      <w:pPr>
        <w:overflowPunct w:val="0"/>
        <w:autoSpaceDE w:val="0"/>
        <w:autoSpaceDN w:val="0"/>
        <w:adjustRightInd w:val="0"/>
        <w:snapToGrid w:val="0"/>
        <w:spacing w:line="360" w:lineRule="auto"/>
        <w:ind w:firstLine="396" w:firstLineChars="200"/>
        <w:rPr>
          <w:rFonts w:ascii="Times New Roman" w:hAnsi="Times New Roman" w:eastAsia="仿宋_GB2312" w:cs="宋体"/>
          <w:kern w:val="0"/>
          <w:szCs w:val="21"/>
        </w:rPr>
      </w:pPr>
    </w:p>
    <w:p w14:paraId="49052B91">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加快推进跨区域创新合作。</w:t>
      </w:r>
      <w:r>
        <w:rPr>
          <w:rFonts w:ascii="Times New Roman" w:hAnsi="Times New Roman" w:eastAsia="仿宋_GB2312" w:cs="宋体"/>
          <w:kern w:val="0"/>
          <w:sz w:val="32"/>
          <w:szCs w:val="32"/>
        </w:rPr>
        <w:t>要加大</w:t>
      </w:r>
      <w:r>
        <w:rPr>
          <w:rFonts w:ascii="Times New Roman" w:hAnsi="Times New Roman" w:eastAsia="仿宋_GB2312" w:cs="宋体"/>
          <w:color w:val="000000" w:themeColor="text1"/>
          <w:kern w:val="0"/>
          <w:sz w:val="32"/>
          <w:szCs w:val="32"/>
        </w:rPr>
        <w:t>创新支持力度，优化创新生态环境，推动各类创新要素向企业集聚，激发创新活力，推动科技成果转化。主动对接长江经济带发展、粤港澳大湾区建设等国家重大战略，融入共建“一带一路”，高水平共建西部陆海新通道，把独特区位优势更好转化为开放发展优势。</w:t>
      </w:r>
      <w:r>
        <w:rPr>
          <w:rFonts w:hint="eastAsia" w:ascii="Times New Roman" w:hAnsi="Times New Roman" w:eastAsia="仿宋_GB2312" w:cs="宋体"/>
          <w:color w:val="000000" w:themeColor="text1"/>
          <w:kern w:val="0"/>
          <w:sz w:val="32"/>
          <w:szCs w:val="32"/>
        </w:rPr>
        <w:t>加快建设国家、自治区级创新型县。</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县科技局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县投资促进局</w:t>
      </w:r>
      <w:r>
        <w:rPr>
          <w:rFonts w:hint="eastAsia" w:ascii="Times New Roman" w:hAnsi="Times New Roman" w:eastAsia="仿宋_GB2312" w:cs="宋体"/>
          <w:kern w:val="0"/>
          <w:sz w:val="32"/>
          <w:szCs w:val="32"/>
        </w:rPr>
        <w:t>、各部门、</w:t>
      </w:r>
      <w:r>
        <w:rPr>
          <w:rFonts w:hint="eastAsia" w:ascii="Times New Roman" w:hAnsi="Times New Roman" w:eastAsia="仿宋_GB2312" w:cs="宋体"/>
          <w:kern w:val="0"/>
          <w:sz w:val="32"/>
          <w:szCs w:val="32"/>
          <w:lang w:eastAsia="zh-CN"/>
        </w:rPr>
        <w:t>各乡（镇）人民政府〕</w:t>
      </w:r>
    </w:p>
    <w:p w14:paraId="01D0AFCA">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落实创新创业政策和措施。认真落</w:t>
      </w:r>
      <w:r>
        <w:rPr>
          <w:rFonts w:hint="eastAsia" w:ascii="Times New Roman" w:hAnsi="Times New Roman" w:eastAsia="仿宋_GB2312" w:cs="宋体"/>
          <w:kern w:val="0"/>
          <w:sz w:val="32"/>
          <w:szCs w:val="30"/>
        </w:rPr>
        <w:t>实国家及区、市有关创新创业政策和措施，重点支持技术创新成果创业、电子商务创业。制定相关政策，鼓励在外经商人员、大学生回乡创业。</w:t>
      </w:r>
      <w:r>
        <w:rPr>
          <w:rFonts w:hint="eastAsia" w:ascii="Times New Roman" w:hAnsi="Times New Roman" w:eastAsia="仿宋_GB2312" w:cs="宋体"/>
          <w:sz w:val="32"/>
          <w:szCs w:val="30"/>
        </w:rPr>
        <w:t>吸引外部的科技成果到本地转化应用是推动全州</w:t>
      </w:r>
      <w:r>
        <w:rPr>
          <w:rFonts w:hint="eastAsia" w:ascii="Times New Roman" w:hAnsi="Times New Roman" w:eastAsia="仿宋_GB2312" w:cs="宋体"/>
          <w:sz w:val="32"/>
          <w:szCs w:val="30"/>
          <w:lang w:eastAsia="zh-CN"/>
        </w:rPr>
        <w:t>县</w:t>
      </w:r>
      <w:r>
        <w:rPr>
          <w:rFonts w:hint="eastAsia" w:ascii="Times New Roman" w:hAnsi="Times New Roman" w:eastAsia="仿宋_GB2312" w:cs="宋体"/>
          <w:sz w:val="32"/>
          <w:szCs w:val="30"/>
        </w:rPr>
        <w:t>域创新发展的必然选择。实施创新兴县战略，把创新驱动作为恢复和推动产业优化升级的核心动力，通过引进科技成果转化落户全州，进而带动金融资本、产业资本、高技术人才落户，为全县利用资源优势、</w:t>
      </w:r>
      <w:r>
        <w:rPr>
          <w:rFonts w:hint="eastAsia" w:ascii="Times New Roman" w:hAnsi="Times New Roman" w:eastAsia="仿宋_GB2312" w:cs="宋体"/>
          <w:kern w:val="0"/>
          <w:sz w:val="32"/>
          <w:szCs w:val="32"/>
        </w:rPr>
        <w:t>产业基础对接高技术成果、高端人口、高端资本加速发展提供机遇。</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县人力资源社会保障局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县科技局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6C53B055">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大力支持农村创新创业。农村创新创业是乡村产业振兴的重要动能。深入实施农村创新创业带头</w:t>
      </w:r>
      <w:r>
        <w:rPr>
          <w:rFonts w:hint="eastAsia" w:ascii="Times New Roman" w:hAnsi="Times New Roman" w:eastAsia="仿宋_GB2312" w:cs="宋体"/>
          <w:kern w:val="0"/>
          <w:sz w:val="32"/>
          <w:szCs w:val="30"/>
        </w:rPr>
        <w:t>人培育行动，加大扶持，培育一批扎根乡村、服务农业、带动农民的创新创业群体。引导有资金积累、技术专长和市场信息的返乡农民工在农村创新创业，培育一批充满激情的农村创新创业优秀带头人，引领乡村新兴产业发展。加大乡村能人培训力度，提高发现机会、识别市场、整合资源、创造价值的能力。培育一批“田秀才”“土专家”“乡创客”等乡土人才，以及乡村工匠、文化能人、手工艺人等能工巧匠，领办家庭农场、农民合作社等，创办家庭工场、手工作坊、乡村车间等。</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县乡村振兴局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县人力资源社会保障局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县科技局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0FA66E75">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宋体"/>
          <w:kern w:val="0"/>
          <w:sz w:val="32"/>
          <w:szCs w:val="32"/>
        </w:rPr>
        <w:t>加快提升民营企业家素质。创造学习条件</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引导民营</w:t>
      </w:r>
      <w:r>
        <w:rPr>
          <w:rFonts w:hint="eastAsia" w:ascii="Times New Roman" w:hAnsi="Times New Roman" w:eastAsia="仿宋_GB2312" w:cs="宋体"/>
          <w:bCs/>
          <w:kern w:val="0"/>
          <w:sz w:val="32"/>
          <w:szCs w:val="30"/>
        </w:rPr>
        <w:t>企业提高学习意识、提升学习能力。引导民营企业增强战略意识</w:t>
      </w:r>
      <w:r>
        <w:rPr>
          <w:rFonts w:hint="eastAsia" w:ascii="Times New Roman" w:hAnsi="Times New Roman" w:eastAsia="仿宋_GB2312" w:cs="宋体"/>
          <w:bCs/>
          <w:kern w:val="0"/>
          <w:sz w:val="32"/>
          <w:szCs w:val="30"/>
          <w:lang w:eastAsia="zh-CN"/>
        </w:rPr>
        <w:t>，</w:t>
      </w:r>
      <w:r>
        <w:rPr>
          <w:rFonts w:hint="eastAsia" w:ascii="Times New Roman" w:hAnsi="Times New Roman" w:eastAsia="仿宋_GB2312" w:cs="宋体"/>
          <w:kern w:val="0"/>
          <w:sz w:val="32"/>
          <w:szCs w:val="30"/>
        </w:rPr>
        <w:t>为民营企业的战略决策提供及时有效的资讯服务</w:t>
      </w:r>
      <w:r>
        <w:rPr>
          <w:rFonts w:hint="eastAsia" w:ascii="Times New Roman" w:hAnsi="Times New Roman" w:eastAsia="仿宋_GB2312" w:cs="宋体"/>
          <w:kern w:val="0"/>
          <w:sz w:val="32"/>
          <w:szCs w:val="30"/>
          <w:lang w:eastAsia="zh-CN"/>
        </w:rPr>
        <w:t>，</w:t>
      </w:r>
      <w:r>
        <w:rPr>
          <w:rFonts w:hint="eastAsia" w:ascii="Times New Roman" w:hAnsi="Times New Roman" w:eastAsia="仿宋_GB2312" w:cs="宋体"/>
          <w:bCs/>
          <w:kern w:val="0"/>
          <w:sz w:val="32"/>
          <w:szCs w:val="30"/>
        </w:rPr>
        <w:t>提升战略运筹能力。引导民营企业完善治理结构</w:t>
      </w:r>
      <w:r>
        <w:rPr>
          <w:rFonts w:hint="eastAsia" w:ascii="Times New Roman" w:hAnsi="Times New Roman" w:eastAsia="仿宋_GB2312" w:cs="宋体"/>
          <w:bCs/>
          <w:kern w:val="0"/>
          <w:sz w:val="32"/>
          <w:szCs w:val="30"/>
          <w:lang w:eastAsia="zh-CN"/>
        </w:rPr>
        <w:t>，</w:t>
      </w:r>
      <w:r>
        <w:rPr>
          <w:rFonts w:hint="eastAsia" w:ascii="Times New Roman" w:hAnsi="Times New Roman" w:eastAsia="仿宋_GB2312" w:cs="宋体"/>
          <w:bCs/>
          <w:kern w:val="0"/>
          <w:sz w:val="32"/>
          <w:szCs w:val="30"/>
        </w:rPr>
        <w:t>增强管理意识</w:t>
      </w:r>
      <w:r>
        <w:rPr>
          <w:rFonts w:hint="eastAsia" w:ascii="Times New Roman" w:hAnsi="Times New Roman" w:eastAsia="仿宋_GB2312" w:cs="宋体"/>
          <w:bCs/>
          <w:kern w:val="0"/>
          <w:sz w:val="32"/>
          <w:szCs w:val="30"/>
          <w:lang w:eastAsia="zh-CN"/>
        </w:rPr>
        <w:t>，</w:t>
      </w:r>
      <w:r>
        <w:rPr>
          <w:rFonts w:hint="eastAsia" w:ascii="Times New Roman" w:hAnsi="Times New Roman" w:eastAsia="仿宋_GB2312" w:cs="宋体"/>
          <w:bCs/>
          <w:kern w:val="0"/>
          <w:sz w:val="32"/>
          <w:szCs w:val="30"/>
        </w:rPr>
        <w:t>提升管理能力。营造人才成长环境</w:t>
      </w:r>
      <w:r>
        <w:rPr>
          <w:rFonts w:hint="eastAsia" w:ascii="Times New Roman" w:hAnsi="Times New Roman" w:eastAsia="仿宋_GB2312" w:cs="宋体"/>
          <w:bCs/>
          <w:kern w:val="0"/>
          <w:sz w:val="32"/>
          <w:szCs w:val="30"/>
          <w:lang w:eastAsia="zh-CN"/>
        </w:rPr>
        <w:t>，</w:t>
      </w:r>
      <w:r>
        <w:rPr>
          <w:rFonts w:hint="eastAsia" w:ascii="Times New Roman" w:hAnsi="Times New Roman" w:eastAsia="仿宋_GB2312" w:cs="宋体"/>
          <w:bCs/>
          <w:kern w:val="0"/>
          <w:sz w:val="32"/>
          <w:szCs w:val="30"/>
        </w:rPr>
        <w:t>引导民营企业增强人才培养意识</w:t>
      </w:r>
      <w:r>
        <w:rPr>
          <w:rFonts w:hint="eastAsia" w:ascii="Times New Roman" w:hAnsi="Times New Roman" w:eastAsia="仿宋_GB2312" w:cs="宋体"/>
          <w:bCs/>
          <w:kern w:val="0"/>
          <w:sz w:val="32"/>
          <w:szCs w:val="30"/>
          <w:lang w:eastAsia="zh-CN"/>
        </w:rPr>
        <w:t>，</w:t>
      </w:r>
      <w:r>
        <w:rPr>
          <w:rFonts w:hint="eastAsia" w:ascii="Times New Roman" w:hAnsi="Times New Roman" w:eastAsia="仿宋_GB2312" w:cs="宋体"/>
          <w:bCs/>
          <w:kern w:val="0"/>
          <w:sz w:val="32"/>
          <w:szCs w:val="30"/>
        </w:rPr>
        <w:t>提升员工队伍建设能力。鼓励文化融合</w:t>
      </w:r>
      <w:r>
        <w:rPr>
          <w:rFonts w:hint="eastAsia" w:ascii="Times New Roman" w:hAnsi="Times New Roman" w:eastAsia="仿宋_GB2312" w:cs="宋体"/>
          <w:bCs/>
          <w:kern w:val="0"/>
          <w:sz w:val="32"/>
          <w:szCs w:val="30"/>
          <w:lang w:eastAsia="zh-CN"/>
        </w:rPr>
        <w:t>，</w:t>
      </w:r>
      <w:r>
        <w:rPr>
          <w:rFonts w:hint="eastAsia" w:ascii="Times New Roman" w:hAnsi="Times New Roman" w:eastAsia="仿宋_GB2312" w:cs="宋体"/>
          <w:bCs/>
          <w:kern w:val="0"/>
          <w:sz w:val="32"/>
          <w:szCs w:val="30"/>
        </w:rPr>
        <w:t>引导民营企业树立开放与合作意识</w:t>
      </w:r>
      <w:r>
        <w:rPr>
          <w:rFonts w:hint="eastAsia" w:ascii="Times New Roman" w:hAnsi="Times New Roman" w:eastAsia="仿宋_GB2312" w:cs="宋体"/>
          <w:bCs/>
          <w:kern w:val="0"/>
          <w:sz w:val="32"/>
          <w:szCs w:val="30"/>
          <w:lang w:eastAsia="zh-CN"/>
        </w:rPr>
        <w:t>，</w:t>
      </w:r>
      <w:r>
        <w:rPr>
          <w:rFonts w:hint="eastAsia" w:ascii="Times New Roman" w:hAnsi="Times New Roman" w:eastAsia="仿宋_GB2312" w:cs="宋体"/>
          <w:bCs/>
          <w:kern w:val="0"/>
          <w:sz w:val="32"/>
          <w:szCs w:val="30"/>
        </w:rPr>
        <w:t>增强文化整合能力</w:t>
      </w:r>
      <w:r>
        <w:rPr>
          <w:rFonts w:hint="eastAsia" w:ascii="Times New Roman" w:hAnsi="Times New Roman" w:eastAsia="仿宋_GB2312" w:cs="宋体"/>
          <w:bCs/>
          <w:kern w:val="0"/>
          <w:sz w:val="32"/>
          <w:szCs w:val="30"/>
          <w:lang w:eastAsia="zh-CN"/>
        </w:rPr>
        <w:t>，</w:t>
      </w:r>
      <w:r>
        <w:rPr>
          <w:rFonts w:hint="eastAsia" w:ascii="Times New Roman" w:hAnsi="Times New Roman" w:eastAsia="仿宋_GB2312" w:cs="宋体"/>
          <w:bCs/>
          <w:kern w:val="0"/>
          <w:sz w:val="32"/>
          <w:szCs w:val="30"/>
        </w:rPr>
        <w:t>提升文化力。关注企业家的身心健康</w:t>
      </w:r>
      <w:r>
        <w:rPr>
          <w:rFonts w:hint="eastAsia" w:ascii="Times New Roman" w:hAnsi="Times New Roman" w:eastAsia="仿宋_GB2312" w:cs="宋体"/>
          <w:bCs/>
          <w:kern w:val="0"/>
          <w:sz w:val="32"/>
          <w:szCs w:val="30"/>
          <w:lang w:eastAsia="zh-CN"/>
        </w:rPr>
        <w:t>，</w:t>
      </w:r>
      <w:r>
        <w:rPr>
          <w:rFonts w:hint="eastAsia" w:ascii="Times New Roman" w:hAnsi="Times New Roman" w:eastAsia="仿宋_GB2312" w:cs="宋体"/>
          <w:kern w:val="0"/>
          <w:sz w:val="32"/>
          <w:szCs w:val="32"/>
        </w:rPr>
        <w:t>营造良好的舆论环境</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帮助民营企业家释放身心压力</w:t>
      </w:r>
      <w:r>
        <w:rPr>
          <w:rFonts w:hint="eastAsia" w:ascii="Times New Roman" w:hAnsi="Times New Roman" w:eastAsia="仿宋_GB2312" w:cs="宋体"/>
          <w:kern w:val="0"/>
          <w:sz w:val="32"/>
          <w:szCs w:val="32"/>
          <w:lang w:eastAsia="zh-CN"/>
        </w:rPr>
        <w:t>，</w:t>
      </w:r>
      <w:r>
        <w:rPr>
          <w:rFonts w:hint="eastAsia" w:ascii="Times New Roman" w:hAnsi="Times New Roman" w:eastAsia="仿宋_GB2312" w:cs="宋体"/>
          <w:kern w:val="0"/>
          <w:sz w:val="32"/>
          <w:szCs w:val="32"/>
        </w:rPr>
        <w:t>提升身心素质。</w:t>
      </w:r>
      <w:r>
        <w:rPr>
          <w:rFonts w:hint="eastAsia" w:ascii="Times New Roman" w:hAnsi="Times New Roman" w:eastAsia="仿宋_GB2312" w:cs="仿宋_GB2312"/>
          <w:kern w:val="0"/>
          <w:sz w:val="32"/>
          <w:szCs w:val="32"/>
        </w:rPr>
        <w:t>〔</w:t>
      </w:r>
      <w:r>
        <w:rPr>
          <w:rFonts w:ascii="Times New Roman" w:hAnsi="Times New Roman" w:eastAsia="仿宋_GB2312" w:cs="宋体"/>
          <w:kern w:val="0"/>
          <w:sz w:val="32"/>
          <w:szCs w:val="32"/>
        </w:rPr>
        <w:t>牵头单位：</w:t>
      </w:r>
      <w:r>
        <w:rPr>
          <w:rFonts w:hint="eastAsia" w:ascii="Times New Roman" w:hAnsi="Times New Roman" w:eastAsia="仿宋_GB2312" w:cs="宋体"/>
          <w:kern w:val="0"/>
          <w:sz w:val="32"/>
          <w:szCs w:val="32"/>
          <w:lang w:val="zh-CN"/>
        </w:rPr>
        <w:t>县工业和信息化局</w:t>
      </w:r>
      <w:r>
        <w:rPr>
          <w:rFonts w:ascii="Times New Roman" w:hAnsi="Times New Roman" w:eastAsia="仿宋_GB2312" w:cs="宋体"/>
          <w:kern w:val="0"/>
          <w:sz w:val="32"/>
          <w:szCs w:val="32"/>
        </w:rPr>
        <w:t>；配合单位：</w:t>
      </w:r>
      <w:r>
        <w:rPr>
          <w:rFonts w:hint="eastAsia" w:ascii="Times New Roman" w:hAnsi="Times New Roman" w:eastAsia="仿宋_GB2312" w:cs="宋体"/>
          <w:kern w:val="0"/>
          <w:sz w:val="32"/>
          <w:szCs w:val="32"/>
          <w:lang w:eastAsia="zh-CN"/>
        </w:rPr>
        <w:t>县人力资源社会保障局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p w14:paraId="59D8C237">
      <w:pPr>
        <w:rPr>
          <w:rStyle w:val="20"/>
          <w:rFonts w:hint="eastAsia" w:ascii="Times New Roman" w:hAnsi="Times New Roman" w:eastAsia="黑体" w:cs="宋体"/>
          <w:b/>
          <w:kern w:val="0"/>
          <w:sz w:val="32"/>
          <w:szCs w:val="32"/>
        </w:rPr>
      </w:pPr>
      <w:bookmarkStart w:id="105" w:name="_Toc30203"/>
    </w:p>
    <w:p w14:paraId="1685DF87">
      <w:pPr>
        <w:ind w:firstLine="616" w:firstLineChars="200"/>
        <w:rPr>
          <w:rStyle w:val="20"/>
          <w:rFonts w:ascii="Times New Roman" w:hAnsi="Times New Roman" w:eastAsia="黑体" w:cs="宋体"/>
          <w:b w:val="0"/>
          <w:bCs/>
          <w:kern w:val="0"/>
          <w:sz w:val="32"/>
          <w:szCs w:val="32"/>
        </w:rPr>
      </w:pPr>
      <w:r>
        <w:rPr>
          <w:rStyle w:val="20"/>
          <w:rFonts w:hint="eastAsia" w:ascii="Times New Roman" w:hAnsi="Times New Roman" w:eastAsia="黑体" w:cs="宋体"/>
          <w:b w:val="0"/>
          <w:bCs/>
          <w:kern w:val="0"/>
          <w:sz w:val="32"/>
          <w:szCs w:val="32"/>
        </w:rPr>
        <w:t>十三、 强化各项保障措施</w:t>
      </w:r>
      <w:bookmarkEnd w:id="86"/>
      <w:r>
        <w:rPr>
          <w:rStyle w:val="20"/>
          <w:rFonts w:hint="eastAsia" w:ascii="Times New Roman" w:hAnsi="Times New Roman" w:eastAsia="黑体" w:cs="宋体"/>
          <w:b w:val="0"/>
          <w:bCs/>
          <w:kern w:val="0"/>
          <w:sz w:val="32"/>
          <w:szCs w:val="32"/>
        </w:rPr>
        <w:t xml:space="preserve">  有效达成规划目标</w:t>
      </w:r>
      <w:bookmarkEnd w:id="105"/>
    </w:p>
    <w:p w14:paraId="375A9545">
      <w:pPr>
        <w:overflowPunct w:val="0"/>
        <w:autoSpaceDE w:val="0"/>
        <w:autoSpaceDN w:val="0"/>
        <w:adjustRightInd w:val="0"/>
        <w:snapToGrid w:val="0"/>
        <w:spacing w:line="360" w:lineRule="auto"/>
        <w:ind w:firstLine="396" w:firstLineChars="200"/>
        <w:rPr>
          <w:rFonts w:ascii="Times New Roman" w:hAnsi="Times New Roman" w:eastAsia="仿宋_GB2312" w:cs="仿宋_GB2312"/>
          <w:kern w:val="0"/>
          <w:szCs w:val="21"/>
        </w:rPr>
      </w:pPr>
    </w:p>
    <w:p w14:paraId="0390FFB6">
      <w:pPr>
        <w:overflowPunct w:val="0"/>
        <w:autoSpaceDE w:val="0"/>
        <w:autoSpaceDN w:val="0"/>
        <w:adjustRightInd w:val="0"/>
        <w:snapToGrid w:val="0"/>
        <w:spacing w:line="360" w:lineRule="auto"/>
        <w:ind w:firstLine="616" w:firstLineChars="200"/>
        <w:rPr>
          <w:rFonts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“十四五”是国内经济、格局、发展重塑的全新五年，新时期必须全面加强党的建设，深化改革开放，出台系列发展政策，主动谋划系列重大项目，加强考核监督，有效保障全州经济社会发展。</w:t>
      </w:r>
      <w:bookmarkStart w:id="106" w:name="_Toc3122"/>
    </w:p>
    <w:p w14:paraId="2995388A">
      <w:pPr>
        <w:pStyle w:val="27"/>
        <w:rPr>
          <w:rFonts w:ascii="Times New Roman" w:hAnsi="Times New Roman"/>
          <w:sz w:val="21"/>
          <w:szCs w:val="21"/>
        </w:rPr>
      </w:pPr>
    </w:p>
    <w:p w14:paraId="7CE84DD8">
      <w:pPr>
        <w:pStyle w:val="2"/>
        <w:keepNext w:val="0"/>
        <w:keepLines w:val="0"/>
        <w:overflowPunct w:val="0"/>
        <w:autoSpaceDE w:val="0"/>
        <w:autoSpaceDN w:val="0"/>
        <w:adjustRightInd w:val="0"/>
        <w:snapToGrid w:val="0"/>
        <w:spacing w:before="0" w:after="0" w:line="360" w:lineRule="auto"/>
        <w:jc w:val="center"/>
        <w:rPr>
          <w:rFonts w:hint="eastAsia" w:ascii="Times New Roman" w:hAnsi="Times New Roman" w:eastAsia="楷体_GB2312" w:cs="楷体_GB2312"/>
          <w:b w:val="0"/>
          <w:bCs w:val="0"/>
        </w:rPr>
      </w:pPr>
      <w:bookmarkStart w:id="107" w:name="_Toc6980"/>
      <w:r>
        <w:rPr>
          <w:rFonts w:hint="eastAsia" w:ascii="Times New Roman" w:hAnsi="Times New Roman" w:eastAsia="楷体_GB2312" w:cs="楷体_GB2312"/>
          <w:b w:val="0"/>
          <w:bCs w:val="0"/>
        </w:rPr>
        <w:t>第一节 全面加强党的建设</w:t>
      </w:r>
      <w:bookmarkEnd w:id="106"/>
      <w:bookmarkEnd w:id="107"/>
    </w:p>
    <w:p w14:paraId="46536E41">
      <w:pPr>
        <w:overflowPunct w:val="0"/>
        <w:autoSpaceDE w:val="0"/>
        <w:autoSpaceDN w:val="0"/>
        <w:adjustRightInd w:val="0"/>
        <w:snapToGrid w:val="0"/>
        <w:spacing w:line="360" w:lineRule="auto"/>
        <w:ind w:firstLine="396" w:firstLineChars="200"/>
        <w:rPr>
          <w:rFonts w:ascii="Times New Roman" w:hAnsi="Times New Roman" w:eastAsia="仿宋_GB2312" w:cs="仿宋_GB2312"/>
          <w:szCs w:val="21"/>
          <w:shd w:val="clear" w:color="auto" w:fill="FFFFFF"/>
        </w:rPr>
      </w:pPr>
    </w:p>
    <w:p w14:paraId="4DF56F21">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sz w:val="32"/>
          <w:szCs w:val="32"/>
          <w:shd w:val="clear" w:color="auto" w:fill="FFFFFF"/>
        </w:rPr>
        <w:t>按照十九大对党的建设作出的新布局，以党的政治建设为统领，全面推进全县党的政治建设、思想建设、组织建设、作风建设、纪律建设，深入推进反腐败斗争，将制度建设贯穿党的建设全过程，保障和提高党的建设质量。加强党的执政能力和先进性建设，提高党领导经济社会发展的能力和水平，提高党科学执政、民主执政、依法执政水平。创新和完善干部选拔任用机制，深化干部人事制度改革，构建科学合理的选人用人机制，强化领导干部重大事项报告制度，完善选人用人专项检查和责任追究制度，建设高素质的执政骨干队伍。加强党的纪律建设，深化党性党风党纪教育，把守纪律讲规矩摆在更加重要的位置。坚持全面从严治党，加强党的作风建设和反腐倡廉建设，推进反腐倡廉制度创新，严格执行党风廉政建设责任制，落实党风廉政建设主体责任和监督责任，加强领导干部廉洁自律和严格管理，强化权力运行制约和监督，加大查办违纪违法案件工作力度。加强新时代基层党组织建设，增强整体服务功能。全面推进党政机关、群团组织、国企、非公有制经济组织、社会组织、街道社区、农村等各领域基层党建工作。坚持党管青年原则，全面贯彻落实《中长期青年发展规划（2016-2025年）》。强化“不忘初心、牢记使命”主题教育，持续推进“两学一做”学习教育常态化制度化。</w:t>
      </w:r>
      <w:r>
        <w:rPr>
          <w:rFonts w:hint="eastAsia" w:ascii="Times New Roman" w:hAnsi="Times New Roman" w:eastAsia="仿宋_GB2312"/>
          <w:color w:val="000000" w:themeColor="text1"/>
          <w:sz w:val="32"/>
          <w:szCs w:val="32"/>
        </w:rPr>
        <w:t>坚持党对国有企业的全面领导，坚持加强党的领导和完善公司治理相统一，在深化企业改革中搞好党的建设，充分发挥党组织在企业改革发展中的领导核心作用。</w:t>
      </w:r>
      <w:r>
        <w:rPr>
          <w:rFonts w:hint="eastAsia" w:ascii="Times New Roman" w:hAnsi="Times New Roman" w:eastAsia="仿宋_GB2312" w:cs="仿宋_GB2312"/>
          <w:kern w:val="0"/>
          <w:sz w:val="32"/>
          <w:szCs w:val="32"/>
        </w:rPr>
        <w:t>〔</w:t>
      </w:r>
      <w:r>
        <w:rPr>
          <w:rFonts w:hint="eastAsia" w:ascii="Times New Roman" w:hAnsi="Times New Roman" w:eastAsia="仿宋_GB2312" w:cs="宋体"/>
          <w:kern w:val="0"/>
          <w:sz w:val="32"/>
          <w:szCs w:val="32"/>
        </w:rPr>
        <w:t>责任</w:t>
      </w:r>
      <w:r>
        <w:rPr>
          <w:rFonts w:ascii="Times New Roman" w:hAnsi="Times New Roman" w:eastAsia="仿宋_GB2312" w:cs="宋体"/>
          <w:kern w:val="0"/>
          <w:sz w:val="32"/>
          <w:szCs w:val="32"/>
        </w:rPr>
        <w:t>单位：</w:t>
      </w:r>
      <w:r>
        <w:rPr>
          <w:rFonts w:hint="eastAsia" w:ascii="Times New Roman" w:hAnsi="Times New Roman" w:eastAsia="仿宋_GB2312" w:cs="宋体"/>
          <w:kern w:val="0"/>
          <w:sz w:val="32"/>
          <w:szCs w:val="32"/>
        </w:rPr>
        <w:t>县纪委监委</w:t>
      </w:r>
      <w:r>
        <w:rPr>
          <w:rFonts w:hint="eastAsia" w:ascii="Times New Roman" w:hAnsi="Times New Roman" w:eastAsia="仿宋_GB2312" w:cs="宋体"/>
          <w:kern w:val="0"/>
          <w:sz w:val="32"/>
          <w:szCs w:val="32"/>
          <w:lang w:eastAsia="zh-CN"/>
        </w:rPr>
        <w:t>机关</w:t>
      </w:r>
      <w:r>
        <w:rPr>
          <w:rFonts w:hint="eastAsia" w:ascii="Times New Roman" w:hAnsi="Times New Roman" w:eastAsia="仿宋_GB2312" w:cs="宋体"/>
          <w:kern w:val="0"/>
          <w:sz w:val="32"/>
          <w:szCs w:val="32"/>
        </w:rPr>
        <w:t>、县委办</w:t>
      </w:r>
      <w:r>
        <w:rPr>
          <w:rFonts w:hint="eastAsia" w:ascii="Times New Roman" w:hAnsi="Times New Roman" w:eastAsia="仿宋_GB2312" w:cs="宋体"/>
          <w:kern w:val="0"/>
          <w:sz w:val="32"/>
          <w:szCs w:val="32"/>
          <w:lang w:eastAsia="zh-CN"/>
        </w:rPr>
        <w:t>公室</w:t>
      </w:r>
      <w:r>
        <w:rPr>
          <w:rFonts w:hint="eastAsia" w:ascii="Times New Roman" w:hAnsi="Times New Roman" w:eastAsia="仿宋_GB2312" w:cs="宋体"/>
          <w:kern w:val="0"/>
          <w:sz w:val="32"/>
          <w:szCs w:val="32"/>
        </w:rPr>
        <w:t>、县政府办公室、县委组织部、县委宣传部、</w:t>
      </w:r>
      <w:r>
        <w:rPr>
          <w:rFonts w:hint="eastAsia" w:ascii="Times New Roman" w:hAnsi="Times New Roman" w:eastAsia="仿宋_GB2312" w:cs="宋体"/>
          <w:kern w:val="0"/>
          <w:sz w:val="32"/>
          <w:szCs w:val="32"/>
          <w:lang w:eastAsia="zh-CN"/>
        </w:rPr>
        <w:t>各乡（镇）人民政府〕</w:t>
      </w:r>
    </w:p>
    <w:p w14:paraId="38BD8319">
      <w:pPr>
        <w:pStyle w:val="27"/>
        <w:rPr>
          <w:rFonts w:hint="eastAsia" w:ascii="Times New Roman" w:hAnsi="Times New Roman" w:eastAsia="楷体_GB2312" w:cs="楷体_GB2312"/>
          <w:b w:val="0"/>
          <w:bCs w:val="0"/>
          <w:sz w:val="21"/>
          <w:szCs w:val="21"/>
        </w:rPr>
      </w:pPr>
    </w:p>
    <w:p w14:paraId="54AF4993">
      <w:pPr>
        <w:pStyle w:val="2"/>
        <w:keepNext w:val="0"/>
        <w:keepLines w:val="0"/>
        <w:overflowPunct w:val="0"/>
        <w:autoSpaceDE w:val="0"/>
        <w:autoSpaceDN w:val="0"/>
        <w:adjustRightInd w:val="0"/>
        <w:snapToGrid w:val="0"/>
        <w:spacing w:before="0" w:after="0" w:line="360" w:lineRule="auto"/>
        <w:jc w:val="center"/>
        <w:rPr>
          <w:rFonts w:hint="eastAsia" w:ascii="Times New Roman" w:hAnsi="Times New Roman" w:eastAsia="楷体_GB2312" w:cs="楷体_GB2312"/>
          <w:b w:val="0"/>
          <w:bCs w:val="0"/>
        </w:rPr>
      </w:pPr>
      <w:bookmarkStart w:id="108" w:name="_Toc18264"/>
      <w:r>
        <w:rPr>
          <w:rFonts w:hint="eastAsia" w:ascii="Times New Roman" w:hAnsi="Times New Roman" w:eastAsia="楷体_GB2312" w:cs="楷体_GB2312"/>
          <w:b w:val="0"/>
          <w:bCs w:val="0"/>
        </w:rPr>
        <w:t>第二节 建立健全保障体系</w:t>
      </w:r>
      <w:bookmarkEnd w:id="108"/>
    </w:p>
    <w:p w14:paraId="04F0076E">
      <w:pPr>
        <w:overflowPunct w:val="0"/>
        <w:autoSpaceDE w:val="0"/>
        <w:autoSpaceDN w:val="0"/>
        <w:adjustRightInd w:val="0"/>
        <w:snapToGrid w:val="0"/>
        <w:spacing w:line="360" w:lineRule="auto"/>
        <w:rPr>
          <w:rFonts w:ascii="Times New Roman" w:hAnsi="Times New Roman" w:eastAsia="仿宋_GB2312" w:cs="仿宋_GB2312"/>
          <w:szCs w:val="21"/>
        </w:rPr>
      </w:pPr>
    </w:p>
    <w:p w14:paraId="706F3791">
      <w:pPr>
        <w:overflowPunct w:val="0"/>
        <w:autoSpaceDE w:val="0"/>
        <w:autoSpaceDN w:val="0"/>
        <w:adjustRightInd w:val="0"/>
        <w:snapToGrid w:val="0"/>
        <w:spacing w:line="360" w:lineRule="auto"/>
        <w:ind w:firstLine="616" w:firstLineChars="200"/>
        <w:rPr>
          <w:rFonts w:hint="eastAsia" w:ascii="Times New Roman" w:hAnsi="Times New Roman" w:eastAsia="仿宋_GB2312" w:cs="宋体"/>
          <w:kern w:val="0"/>
          <w:sz w:val="32"/>
          <w:szCs w:val="32"/>
          <w:lang w:eastAsia="zh-CN"/>
        </w:rPr>
      </w:pPr>
      <w:r>
        <w:rPr>
          <w:rFonts w:hint="eastAsia" w:ascii="Times New Roman" w:hAnsi="Times New Roman" w:eastAsia="仿宋_GB2312" w:cs="仿宋_GB2312"/>
          <w:sz w:val="32"/>
          <w:szCs w:val="32"/>
        </w:rPr>
        <w:t>坚持把改革作为转型发展的关键举措和强大动力，全面深化行政、经济、社会、农业农村、创新创业、财税、金融、招商引资、生态文明等领域改革。</w:t>
      </w:r>
      <w:r>
        <w:rPr>
          <w:rFonts w:hint="eastAsia" w:ascii="Times New Roman" w:hAnsi="Times New Roman" w:eastAsia="仿宋_GB2312" w:cs="仿宋_GB2312"/>
          <w:kern w:val="0"/>
          <w:sz w:val="32"/>
          <w:szCs w:val="32"/>
          <w:lang w:val="zh-CN"/>
        </w:rPr>
        <w:t>结合</w:t>
      </w:r>
      <w:r>
        <w:rPr>
          <w:rFonts w:hint="eastAsia" w:ascii="Times New Roman" w:hAnsi="Times New Roman" w:eastAsia="仿宋_GB2312" w:cs="仿宋_GB2312"/>
          <w:kern w:val="0"/>
          <w:sz w:val="32"/>
          <w:szCs w:val="32"/>
        </w:rPr>
        <w:t>全县</w:t>
      </w:r>
      <w:r>
        <w:rPr>
          <w:rFonts w:hint="eastAsia" w:ascii="Times New Roman" w:hAnsi="Times New Roman" w:eastAsia="仿宋_GB2312" w:cs="仿宋_GB2312"/>
          <w:kern w:val="0"/>
          <w:sz w:val="32"/>
          <w:szCs w:val="32"/>
          <w:lang w:val="zh-CN"/>
        </w:rPr>
        <w:t>情，进一步加大落实上级改革开放政策，主动对接县外资源，承接国家、自治区、市相关领域试点、示范区建设。结合“放管服”创新模式，深化机构和行政体制改革，提高政府公信力和行政</w:t>
      </w:r>
      <w:r>
        <w:rPr>
          <w:rFonts w:hint="eastAsia" w:ascii="Times New Roman" w:hAnsi="Times New Roman" w:eastAsia="仿宋_GB2312" w:cs="仿宋_GB2312"/>
          <w:kern w:val="0"/>
          <w:sz w:val="32"/>
          <w:szCs w:val="32"/>
        </w:rPr>
        <w:t>力</w:t>
      </w:r>
      <w:r>
        <w:rPr>
          <w:rFonts w:hint="eastAsia" w:ascii="Times New Roman" w:hAnsi="Times New Roman" w:eastAsia="仿宋_GB2312" w:cs="仿宋_GB2312"/>
          <w:kern w:val="0"/>
          <w:sz w:val="32"/>
          <w:szCs w:val="32"/>
          <w:lang w:val="zh-CN"/>
        </w:rPr>
        <w:t>，大力推进“互联网+政府服务”，实施“互联网+监管”和“互联网+督查”，推进各类政务资源共享，让政务服务更智慧。结合供给侧改革，聚焦补短板，巩固‘三去一降一补’成果，增强微观主体活力，提升产业链水平，畅通经济循环，推动农牧业高质量发展，促进城乡区域协调发展。结合人才强县战略，细化完善</w:t>
      </w:r>
      <w:r>
        <w:rPr>
          <w:rFonts w:hint="eastAsia" w:ascii="Times New Roman" w:hAnsi="Times New Roman" w:eastAsia="仿宋_GB2312" w:cs="仿宋_GB2312"/>
          <w:sz w:val="32"/>
          <w:szCs w:val="32"/>
          <w:lang w:val="zh-CN"/>
        </w:rPr>
        <w:t>体制内退休官员和科研人才再就业制度</w:t>
      </w:r>
      <w:r>
        <w:rPr>
          <w:rFonts w:hint="eastAsia" w:ascii="Times New Roman" w:hAnsi="Times New Roman" w:eastAsia="仿宋_GB2312" w:cs="仿宋_GB2312"/>
          <w:kern w:val="0"/>
          <w:sz w:val="32"/>
          <w:szCs w:val="32"/>
          <w:lang w:val="zh-CN"/>
        </w:rPr>
        <w:t>，</w:t>
      </w:r>
      <w:r>
        <w:rPr>
          <w:rFonts w:hint="eastAsia" w:ascii="Times New Roman" w:hAnsi="Times New Roman" w:eastAsia="仿宋_GB2312" w:cs="仿宋_GB2312"/>
          <w:sz w:val="32"/>
          <w:szCs w:val="32"/>
          <w:lang w:val="zh-CN"/>
        </w:rPr>
        <w:t>增加全县的高素质劳动力供给。</w:t>
      </w:r>
      <w:r>
        <w:rPr>
          <w:rFonts w:hint="eastAsia" w:ascii="Times New Roman" w:hAnsi="Times New Roman" w:eastAsia="仿宋_GB2312" w:cs="仿宋_GB2312"/>
          <w:kern w:val="0"/>
          <w:sz w:val="32"/>
          <w:szCs w:val="32"/>
          <w:lang w:val="zh-CN"/>
        </w:rPr>
        <w:t>结合实施乡村振兴战略，加快制度、市场、技术多层面改革，创造性为农业农村提质增效。结合区域发展，高站位、高标准谋划项目，主动融入大湾区、</w:t>
      </w:r>
      <w:r>
        <w:rPr>
          <w:rFonts w:hint="eastAsia" w:ascii="Times New Roman" w:hAnsi="Times New Roman" w:eastAsia="仿宋_GB2312" w:cs="仿宋_GB2312"/>
          <w:kern w:val="0"/>
          <w:sz w:val="32"/>
          <w:szCs w:val="32"/>
        </w:rPr>
        <w:t>对接大</w:t>
      </w:r>
      <w:r>
        <w:rPr>
          <w:rFonts w:hint="eastAsia" w:ascii="Times New Roman" w:hAnsi="Times New Roman" w:eastAsia="仿宋_GB2312" w:cs="仿宋_GB2312"/>
          <w:kern w:val="0"/>
          <w:sz w:val="32"/>
          <w:szCs w:val="32"/>
          <w:lang w:val="zh-CN"/>
        </w:rPr>
        <w:t>桂林等</w:t>
      </w:r>
      <w:r>
        <w:rPr>
          <w:rFonts w:hint="eastAsia" w:ascii="Times New Roman" w:hAnsi="Times New Roman" w:eastAsia="仿宋_GB2312" w:cs="仿宋_GB2312"/>
          <w:kern w:val="0"/>
          <w:sz w:val="32"/>
          <w:szCs w:val="32"/>
        </w:rPr>
        <w:t>区域</w:t>
      </w:r>
      <w:r>
        <w:rPr>
          <w:rFonts w:hint="eastAsia" w:ascii="Times New Roman" w:hAnsi="Times New Roman" w:eastAsia="仿宋_GB2312" w:cs="仿宋_GB2312"/>
          <w:kern w:val="0"/>
          <w:sz w:val="32"/>
          <w:szCs w:val="32"/>
          <w:lang w:val="zh-CN"/>
        </w:rPr>
        <w:t>新格局。强化招商引资，</w:t>
      </w:r>
      <w:r>
        <w:rPr>
          <w:rFonts w:hint="eastAsia" w:ascii="Times New Roman" w:hAnsi="Times New Roman" w:eastAsia="仿宋_GB2312" w:cs="仿宋_GB2312"/>
          <w:kern w:val="0"/>
          <w:sz w:val="32"/>
          <w:szCs w:val="32"/>
        </w:rPr>
        <w:t>锁定重点</w:t>
      </w:r>
      <w:r>
        <w:rPr>
          <w:rFonts w:hint="eastAsia" w:ascii="Times New Roman" w:hAnsi="Times New Roman" w:eastAsia="仿宋_GB2312" w:cs="仿宋_GB2312"/>
          <w:kern w:val="0"/>
          <w:sz w:val="32"/>
          <w:szCs w:val="32"/>
          <w:lang w:val="zh-CN"/>
        </w:rPr>
        <w:t>目标，有效拓展渠道，</w:t>
      </w:r>
      <w:r>
        <w:rPr>
          <w:rFonts w:hint="eastAsia" w:ascii="Times New Roman" w:hAnsi="Times New Roman" w:eastAsia="仿宋_GB2312" w:cs="仿宋_GB2312"/>
          <w:kern w:val="0"/>
          <w:sz w:val="32"/>
          <w:szCs w:val="32"/>
        </w:rPr>
        <w:t>优化</w:t>
      </w:r>
      <w:r>
        <w:rPr>
          <w:rFonts w:hint="eastAsia" w:ascii="Times New Roman" w:hAnsi="Times New Roman" w:eastAsia="仿宋_GB2312" w:cs="仿宋_GB2312"/>
          <w:kern w:val="0"/>
          <w:sz w:val="32"/>
          <w:szCs w:val="32"/>
          <w:lang w:val="zh-CN"/>
        </w:rPr>
        <w:t>营商环境，探索新路径和新模式，引进人才、资金、科技等生产要素，加快承接产业转移步伐。大力推进园区建设，提升园区承载能力。结合借智借力转型发展，主动与高校、科研院所</w:t>
      </w:r>
      <w:r>
        <w:rPr>
          <w:rFonts w:hint="eastAsia" w:ascii="Times New Roman" w:hAnsi="Times New Roman" w:eastAsia="仿宋_GB2312" w:cs="仿宋_GB2312"/>
          <w:kern w:val="0"/>
          <w:sz w:val="32"/>
          <w:szCs w:val="32"/>
        </w:rPr>
        <w:t>以及</w:t>
      </w:r>
      <w:r>
        <w:rPr>
          <w:rFonts w:hint="eastAsia" w:ascii="Times New Roman" w:hAnsi="Times New Roman" w:eastAsia="仿宋_GB2312" w:cs="仿宋_GB2312"/>
          <w:kern w:val="0"/>
          <w:sz w:val="32"/>
          <w:szCs w:val="32"/>
          <w:lang w:val="zh-CN"/>
        </w:rPr>
        <w:t>优秀智力型、知识型、管理型</w:t>
      </w:r>
      <w:r>
        <w:rPr>
          <w:rFonts w:hint="eastAsia" w:ascii="Times New Roman" w:hAnsi="Times New Roman" w:eastAsia="仿宋_GB2312" w:cs="仿宋_GB2312"/>
          <w:kern w:val="0"/>
          <w:sz w:val="32"/>
          <w:szCs w:val="32"/>
        </w:rPr>
        <w:t>机构</w:t>
      </w:r>
      <w:r>
        <w:rPr>
          <w:rFonts w:hint="eastAsia" w:ascii="Times New Roman" w:hAnsi="Times New Roman" w:eastAsia="仿宋_GB2312" w:cs="仿宋_GB2312"/>
          <w:kern w:val="0"/>
          <w:sz w:val="32"/>
          <w:szCs w:val="32"/>
          <w:lang w:val="zh-CN"/>
        </w:rPr>
        <w:t>建立战略合作关系，</w:t>
      </w:r>
      <w:r>
        <w:rPr>
          <w:rFonts w:hint="eastAsia" w:ascii="Times New Roman" w:hAnsi="Times New Roman" w:eastAsia="仿宋_GB2312" w:cs="仿宋_GB2312"/>
          <w:kern w:val="0"/>
          <w:sz w:val="32"/>
          <w:szCs w:val="32"/>
        </w:rPr>
        <w:t>创建</w:t>
      </w:r>
      <w:r>
        <w:rPr>
          <w:rFonts w:hint="eastAsia" w:ascii="Times New Roman" w:hAnsi="Times New Roman" w:eastAsia="仿宋_GB2312" w:cs="仿宋_GB2312"/>
          <w:kern w:val="0"/>
          <w:sz w:val="32"/>
          <w:szCs w:val="32"/>
          <w:lang w:val="zh-CN"/>
        </w:rPr>
        <w:t>面向全州产业的技术研发中心、实验基地，为县域经济发展提供系统性、持续性智力支撑。</w:t>
      </w:r>
      <w:r>
        <w:rPr>
          <w:rFonts w:hint="eastAsia" w:ascii="Times New Roman" w:hAnsi="Times New Roman" w:eastAsia="仿宋_GB2312" w:cs="仿宋_GB2312"/>
          <w:sz w:val="32"/>
          <w:szCs w:val="32"/>
          <w:lang w:val="zh-CN"/>
        </w:rPr>
        <w:t>坚定不移扩大服务业对外开放，</w:t>
      </w:r>
      <w:r>
        <w:rPr>
          <w:rFonts w:hint="eastAsia" w:ascii="Times New Roman" w:hAnsi="Times New Roman" w:eastAsia="仿宋_GB2312" w:cs="仿宋_GB2312"/>
          <w:sz w:val="32"/>
          <w:szCs w:val="32"/>
        </w:rPr>
        <w:t>进一步放宽市场准入，注入新动力，激发市场活力，政府服务、企业服务</w:t>
      </w:r>
      <w:r>
        <w:rPr>
          <w:rFonts w:hint="eastAsia" w:ascii="Times New Roman" w:hAnsi="Times New Roman" w:eastAsia="仿宋_GB2312" w:cs="宋体"/>
          <w:kern w:val="0"/>
          <w:sz w:val="32"/>
          <w:szCs w:val="32"/>
        </w:rPr>
        <w:t>水平都要瞄准国际先进水平来提升，在国际竞争中进一步提升质量和水平。</w:t>
      </w:r>
      <w:bookmarkStart w:id="109" w:name="_Toc23729"/>
      <w:r>
        <w:rPr>
          <w:rFonts w:hint="eastAsia" w:ascii="Times New Roman" w:hAnsi="Times New Roman" w:eastAsia="仿宋_GB2312" w:cs="仿宋_GB2312"/>
          <w:kern w:val="0"/>
          <w:sz w:val="32"/>
          <w:szCs w:val="32"/>
        </w:rPr>
        <w:t>〔</w:t>
      </w:r>
      <w:r>
        <w:rPr>
          <w:rFonts w:hint="eastAsia" w:ascii="Times New Roman" w:hAnsi="Times New Roman" w:eastAsia="仿宋_GB2312" w:cs="宋体"/>
          <w:kern w:val="0"/>
          <w:sz w:val="32"/>
          <w:szCs w:val="32"/>
        </w:rPr>
        <w:t>责任</w:t>
      </w:r>
      <w:r>
        <w:rPr>
          <w:rFonts w:ascii="Times New Roman" w:hAnsi="Times New Roman" w:eastAsia="仿宋_GB2312" w:cs="宋体"/>
          <w:kern w:val="0"/>
          <w:sz w:val="32"/>
          <w:szCs w:val="32"/>
        </w:rPr>
        <w:t>单位：</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县人力资源社会保障局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县投资促进局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县农业农村局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县科技局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县政务办</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各乡（镇）人民政府〕</w:t>
      </w:r>
    </w:p>
    <w:bookmarkEnd w:id="109"/>
    <w:p w14:paraId="522BCF1A">
      <w:pPr>
        <w:overflowPunct w:val="0"/>
        <w:autoSpaceDE w:val="0"/>
        <w:autoSpaceDN w:val="0"/>
        <w:adjustRightInd w:val="0"/>
        <w:snapToGrid w:val="0"/>
        <w:spacing w:line="360" w:lineRule="auto"/>
        <w:jc w:val="center"/>
        <w:rPr>
          <w:rFonts w:ascii="Times New Roman" w:hAnsi="Times New Roman"/>
          <w:szCs w:val="21"/>
        </w:rPr>
      </w:pPr>
      <w:bookmarkStart w:id="110" w:name="_Toc4737"/>
    </w:p>
    <w:p w14:paraId="336E648E">
      <w:pPr>
        <w:pStyle w:val="2"/>
        <w:keepNext w:val="0"/>
        <w:keepLines w:val="0"/>
        <w:overflowPunct w:val="0"/>
        <w:autoSpaceDE w:val="0"/>
        <w:autoSpaceDN w:val="0"/>
        <w:adjustRightInd w:val="0"/>
        <w:snapToGrid w:val="0"/>
        <w:spacing w:before="0" w:after="0" w:line="360" w:lineRule="auto"/>
        <w:jc w:val="center"/>
        <w:rPr>
          <w:rFonts w:hint="eastAsia" w:ascii="Times New Roman" w:hAnsi="Times New Roman" w:eastAsia="楷体_GB2312" w:cs="楷体_GB2312"/>
          <w:b w:val="0"/>
          <w:bCs w:val="0"/>
        </w:rPr>
      </w:pPr>
      <w:r>
        <w:rPr>
          <w:rFonts w:hint="eastAsia" w:ascii="Times New Roman" w:hAnsi="Times New Roman" w:eastAsia="楷体_GB2312" w:cs="楷体_GB2312"/>
          <w:b w:val="0"/>
          <w:bCs w:val="0"/>
        </w:rPr>
        <w:t>第三节 确保规划实施效果</w:t>
      </w:r>
      <w:bookmarkEnd w:id="110"/>
    </w:p>
    <w:p w14:paraId="7F3EBCE3">
      <w:pPr>
        <w:overflowPunct w:val="0"/>
        <w:autoSpaceDE w:val="0"/>
        <w:autoSpaceDN w:val="0"/>
        <w:adjustRightInd w:val="0"/>
        <w:snapToGrid w:val="0"/>
        <w:spacing w:line="360" w:lineRule="auto"/>
        <w:ind w:firstLine="396" w:firstLineChars="200"/>
        <w:rPr>
          <w:rFonts w:ascii="Times New Roman" w:hAnsi="Times New Roman" w:eastAsia="仿宋_GB2312" w:cs="仿宋_GB2312"/>
          <w:szCs w:val="21"/>
        </w:rPr>
      </w:pPr>
    </w:p>
    <w:p w14:paraId="68EF2DAF">
      <w:pPr>
        <w:overflowPunct w:val="0"/>
        <w:autoSpaceDE w:val="0"/>
        <w:autoSpaceDN w:val="0"/>
        <w:adjustRightInd w:val="0"/>
        <w:snapToGrid w:val="0"/>
        <w:spacing w:line="360" w:lineRule="auto"/>
        <w:ind w:firstLine="616" w:firstLineChars="200"/>
        <w:rPr>
          <w:rFonts w:ascii="Times New Roman" w:hAnsi="Times New Roman" w:eastAsia="仿宋_GB2312" w:cs="宋体"/>
          <w:kern w:val="0"/>
          <w:sz w:val="32"/>
          <w:szCs w:val="32"/>
        </w:rPr>
      </w:pPr>
      <w:r>
        <w:rPr>
          <w:rFonts w:hint="eastAsia" w:ascii="Times New Roman" w:hAnsi="Times New Roman" w:eastAsia="仿宋_GB2312" w:cs="仿宋_GB2312"/>
          <w:sz w:val="32"/>
          <w:szCs w:val="32"/>
        </w:rPr>
        <w:t>细化分解发展目标、重点任务和政策措施，明确牵头部门和工作责任，并将之作为对各部门、各乡镇落实绩效考核的重要内容。各部门要深化细化落实计划，明确措施、明确责任、明确期限，确保规划目标和任务落到实处。严格考核评估机制，将规划执行考核纳入本地经济社会绩效考核内容，明确考核机制和奖惩标准，防止规划执行的随意性。加强公众对规划实施的监督。加大规划实施的监察力度，做好各项工作和政策措施落实的督促检查工作，强化人大对规划实施的监督职能。建立规划实施的中期评估和后期评估制度，建立健全规划纲要指标体系的统计和评价制度，确保数据权威准确、科学合理。创新评估方式，引入社会机构评估等第三方评估机制，定期对经济社会发展指标</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尤其是对约束性指标进行适时监测，对经济社会发展政策和重大项目进行效应评估，保障规划纲要的有效实施。着力推进规划实施的信息公开，广泛征求县人大、县政协以及社会各界对规划实施的意见和建议，健全政府与企</w:t>
      </w:r>
      <w:r>
        <w:rPr>
          <w:rFonts w:hint="eastAsia" w:ascii="Times New Roman" w:hAnsi="Times New Roman" w:eastAsia="仿宋_GB2312" w:cs="宋体"/>
          <w:kern w:val="0"/>
          <w:sz w:val="32"/>
          <w:szCs w:val="32"/>
        </w:rPr>
        <w:t>业、民众的信息沟通和交流机制，提高规划实施的民主化和透明度。</w:t>
      </w:r>
      <w:r>
        <w:rPr>
          <w:rFonts w:ascii="Times New Roman" w:hAnsi="Times New Roman" w:eastAsia="仿宋_GB2312" w:cs="宋体"/>
          <w:kern w:val="0"/>
          <w:sz w:val="32"/>
          <w:szCs w:val="32"/>
        </w:rPr>
        <w:t>（</w:t>
      </w:r>
      <w:r>
        <w:rPr>
          <w:rFonts w:hint="eastAsia" w:ascii="Times New Roman" w:hAnsi="Times New Roman" w:eastAsia="仿宋_GB2312" w:cs="宋体"/>
          <w:kern w:val="0"/>
          <w:sz w:val="32"/>
          <w:szCs w:val="32"/>
        </w:rPr>
        <w:t>责任</w:t>
      </w:r>
      <w:r>
        <w:rPr>
          <w:rFonts w:ascii="Times New Roman" w:hAnsi="Times New Roman" w:eastAsia="仿宋_GB2312" w:cs="宋体"/>
          <w:kern w:val="0"/>
          <w:sz w:val="32"/>
          <w:szCs w:val="32"/>
        </w:rPr>
        <w:t>单位：</w:t>
      </w:r>
      <w:r>
        <w:rPr>
          <w:rFonts w:hint="eastAsia" w:ascii="Times New Roman" w:hAnsi="Times New Roman" w:eastAsia="仿宋_GB2312" w:cs="宋体"/>
          <w:kern w:val="0"/>
          <w:sz w:val="32"/>
          <w:szCs w:val="32"/>
        </w:rPr>
        <w:t>县人大</w:t>
      </w:r>
      <w:r>
        <w:rPr>
          <w:rFonts w:hint="eastAsia" w:ascii="Times New Roman" w:hAnsi="Times New Roman" w:eastAsia="仿宋_GB2312" w:cs="宋体"/>
          <w:kern w:val="0"/>
          <w:sz w:val="32"/>
          <w:szCs w:val="32"/>
          <w:lang w:eastAsia="zh-CN"/>
        </w:rPr>
        <w:t>常委</w:t>
      </w:r>
      <w:r>
        <w:rPr>
          <w:rFonts w:hint="eastAsia" w:ascii="Times New Roman" w:hAnsi="Times New Roman" w:eastAsia="仿宋_GB2312" w:cs="宋体"/>
          <w:kern w:val="0"/>
          <w:sz w:val="32"/>
          <w:szCs w:val="32"/>
        </w:rPr>
        <w:t>会办公室、县政府办公室、</w:t>
      </w:r>
      <w:r>
        <w:rPr>
          <w:rFonts w:hint="eastAsia" w:ascii="Times New Roman" w:hAnsi="Times New Roman" w:eastAsia="仿宋_GB2312" w:cs="宋体"/>
          <w:kern w:val="0"/>
          <w:sz w:val="32"/>
          <w:szCs w:val="32"/>
          <w:lang w:eastAsia="zh-CN"/>
        </w:rPr>
        <w:t>县发展改革局</w:t>
      </w:r>
      <w:r>
        <w:rPr>
          <w:rFonts w:hint="eastAsia" w:ascii="Times New Roman" w:hAnsi="Times New Roman" w:eastAsia="仿宋_GB2312" w:cs="宋体"/>
          <w:kern w:val="0"/>
          <w:sz w:val="32"/>
          <w:szCs w:val="32"/>
        </w:rPr>
        <w:t>、</w:t>
      </w:r>
      <w:r>
        <w:rPr>
          <w:rFonts w:hint="eastAsia" w:ascii="Times New Roman" w:hAnsi="Times New Roman" w:eastAsia="仿宋_GB2312" w:cs="宋体"/>
          <w:kern w:val="0"/>
          <w:sz w:val="32"/>
          <w:szCs w:val="32"/>
          <w:lang w:eastAsia="zh-CN"/>
        </w:rPr>
        <w:t>县委县政府督查绩效</w:t>
      </w:r>
      <w:r>
        <w:rPr>
          <w:rFonts w:hint="eastAsia" w:ascii="Times New Roman" w:hAnsi="Times New Roman" w:eastAsia="仿宋_GB2312" w:cs="宋体"/>
          <w:kern w:val="0"/>
          <w:sz w:val="32"/>
          <w:szCs w:val="32"/>
        </w:rPr>
        <w:t>办、</w:t>
      </w:r>
      <w:r>
        <w:rPr>
          <w:rFonts w:hint="eastAsia" w:ascii="Times New Roman" w:hAnsi="Times New Roman" w:eastAsia="仿宋_GB2312" w:cs="宋体"/>
          <w:kern w:val="0"/>
          <w:sz w:val="32"/>
          <w:szCs w:val="32"/>
          <w:lang w:eastAsia="zh-CN"/>
        </w:rPr>
        <w:t>县</w:t>
      </w:r>
      <w:r>
        <w:rPr>
          <w:rFonts w:hint="eastAsia" w:ascii="Times New Roman" w:hAnsi="Times New Roman" w:eastAsia="仿宋_GB2312" w:cs="宋体"/>
          <w:kern w:val="0"/>
          <w:sz w:val="32"/>
          <w:szCs w:val="32"/>
        </w:rPr>
        <w:t>审计局</w:t>
      </w:r>
      <w:r>
        <w:rPr>
          <w:rFonts w:ascii="Times New Roman" w:hAnsi="Times New Roman" w:eastAsia="仿宋_GB2312" w:cs="宋体"/>
          <w:kern w:val="0"/>
          <w:sz w:val="32"/>
          <w:szCs w:val="32"/>
        </w:rPr>
        <w:t>）</w:t>
      </w:r>
    </w:p>
    <w:p w14:paraId="7EFE6616">
      <w:pPr>
        <w:pStyle w:val="2"/>
        <w:spacing w:line="40" w:lineRule="exact"/>
        <w:rPr>
          <w:rFonts w:ascii="Times New Roman" w:hAnsi="Times New Roman"/>
        </w:rPr>
      </w:pPr>
    </w:p>
    <w:p w14:paraId="154EF7E0">
      <w:pPr>
        <w:rPr>
          <w:rFonts w:ascii="Times New Roman" w:hAnsi="Times New Roman"/>
        </w:rPr>
      </w:pPr>
    </w:p>
    <w:p w14:paraId="75D6840E">
      <w:pPr>
        <w:pStyle w:val="2"/>
        <w:rPr>
          <w:rFonts w:ascii="Times New Roman" w:hAnsi="Times New Roman"/>
        </w:rPr>
      </w:pPr>
    </w:p>
    <w:p w14:paraId="4D82BE91">
      <w:pPr>
        <w:rPr>
          <w:rFonts w:ascii="Times New Roman" w:hAnsi="Times New Roman"/>
        </w:rPr>
      </w:pPr>
    </w:p>
    <w:p w14:paraId="0DDDE3B6">
      <w:pPr>
        <w:pStyle w:val="2"/>
        <w:rPr>
          <w:rFonts w:ascii="Times New Roman" w:hAnsi="Times New Roman"/>
        </w:rPr>
      </w:pPr>
    </w:p>
    <w:p w14:paraId="37CFD827">
      <w:pPr>
        <w:rPr>
          <w:rFonts w:ascii="Times New Roman" w:hAnsi="Times New Roman"/>
        </w:rPr>
      </w:pPr>
    </w:p>
    <w:p w14:paraId="76134BDF">
      <w:pPr>
        <w:pStyle w:val="2"/>
        <w:rPr>
          <w:rFonts w:ascii="Times New Roman" w:hAnsi="Times New Roman"/>
        </w:rPr>
      </w:pPr>
    </w:p>
    <w:p w14:paraId="2D465FC9">
      <w:pPr>
        <w:rPr>
          <w:rFonts w:ascii="Times New Roman" w:hAnsi="Times New Roman"/>
        </w:rPr>
      </w:pPr>
    </w:p>
    <w:p w14:paraId="17E373A8">
      <w:pPr>
        <w:pStyle w:val="2"/>
        <w:rPr>
          <w:rFonts w:ascii="Times New Roman" w:hAnsi="Times New Roman"/>
        </w:rPr>
      </w:pPr>
    </w:p>
    <w:p w14:paraId="5DAC24BC">
      <w:pPr>
        <w:rPr>
          <w:rFonts w:ascii="Times New Roman" w:hAnsi="Times New Roman"/>
        </w:rPr>
      </w:pPr>
    </w:p>
    <w:p w14:paraId="711F6DE1">
      <w:pPr>
        <w:pStyle w:val="2"/>
        <w:rPr>
          <w:rFonts w:ascii="Times New Roman" w:hAnsi="Times New Roman"/>
        </w:rPr>
      </w:pPr>
    </w:p>
    <w:p w14:paraId="03DB14EC">
      <w:pPr>
        <w:rPr>
          <w:rFonts w:ascii="Times New Roman" w:hAnsi="Times New Roman"/>
        </w:rPr>
      </w:pPr>
    </w:p>
    <w:p w14:paraId="0074CCC8">
      <w:pPr>
        <w:pStyle w:val="2"/>
        <w:rPr>
          <w:rFonts w:ascii="Times New Roman" w:hAnsi="Times New Roman"/>
        </w:rPr>
      </w:pPr>
    </w:p>
    <w:p w14:paraId="010D2E4C">
      <w:pPr>
        <w:rPr>
          <w:rFonts w:ascii="Times New Roman" w:hAnsi="Times New Roman"/>
        </w:rPr>
      </w:pPr>
    </w:p>
    <w:p w14:paraId="171628DF">
      <w:pPr>
        <w:rPr>
          <w:rFonts w:hint="eastAsia" w:ascii="Times New Roman" w:hAnsi="Times New Roman" w:eastAsia="黑体"/>
          <w:sz w:val="32"/>
        </w:rPr>
      </w:pPr>
    </w:p>
    <w:p w14:paraId="02624ED0">
      <w:pPr>
        <w:ind w:firstLine="308" w:firstLineChars="100"/>
        <w:rPr>
          <w:rFonts w:hint="eastAsia" w:ascii="Times New Roman" w:hAnsi="Times New Roman" w:eastAsia="黑体"/>
          <w:sz w:val="32"/>
        </w:rPr>
      </w:pPr>
      <w:r>
        <w:rPr>
          <w:rFonts w:hint="eastAsia" w:ascii="Times New Roman" w:hAnsi="Times New Roman" w:eastAsia="黑体"/>
          <w:sz w:val="32"/>
        </w:rPr>
        <w:t>公开方式：主动公开</w:t>
      </w:r>
    </w:p>
    <w:tbl>
      <w:tblPr>
        <w:tblStyle w:val="17"/>
        <w:tblW w:w="0" w:type="auto"/>
        <w:jc w:val="center"/>
        <w:tblBorders>
          <w:top w:val="single" w:color="auto" w:sz="4" w:space="0"/>
          <w:left w:val="none" w:color="auto" w:sz="0" w:space="0"/>
          <w:bottom w:val="single" w:color="auto" w:sz="4" w:space="0"/>
          <w:right w:val="none" w:color="auto" w:sz="0" w:space="0"/>
          <w:insideH w:val="single" w:color="auto" w:sz="2" w:space="0"/>
          <w:insideV w:val="none" w:color="auto" w:sz="0" w:space="0"/>
        </w:tblBorders>
        <w:tblLayout w:type="fixed"/>
        <w:tblCellMar>
          <w:top w:w="0" w:type="dxa"/>
          <w:left w:w="108" w:type="dxa"/>
          <w:bottom w:w="0" w:type="dxa"/>
          <w:right w:w="108" w:type="dxa"/>
        </w:tblCellMar>
      </w:tblPr>
      <w:tblGrid>
        <w:gridCol w:w="9015"/>
      </w:tblGrid>
      <w:tr w14:paraId="06DD2DCA">
        <w:tblPrEx>
          <w:tblBorders>
            <w:top w:val="single" w:color="auto" w:sz="4" w:space="0"/>
            <w:left w:val="none" w:color="auto" w:sz="0" w:space="0"/>
            <w:bottom w:val="single" w:color="auto" w:sz="4" w:space="0"/>
            <w:right w:val="none" w:color="auto" w:sz="0" w:space="0"/>
            <w:insideH w:val="single" w:color="auto" w:sz="2" w:space="0"/>
            <w:insideV w:val="none" w:color="auto" w:sz="0" w:space="0"/>
          </w:tblBorders>
          <w:tblCellMar>
            <w:top w:w="0" w:type="dxa"/>
            <w:left w:w="108" w:type="dxa"/>
            <w:bottom w:w="0" w:type="dxa"/>
            <w:right w:w="108" w:type="dxa"/>
          </w:tblCellMar>
        </w:tblPrEx>
        <w:trPr>
          <w:trHeight w:val="624" w:hRule="atLeast"/>
          <w:jc w:val="center"/>
        </w:trPr>
        <w:tc>
          <w:tcPr>
            <w:tcW w:w="9015" w:type="dxa"/>
            <w:noWrap w:val="0"/>
            <w:vAlign w:val="center"/>
          </w:tcPr>
          <w:p w14:paraId="34B79A35">
            <w:pPr>
              <w:ind w:firstLine="134" w:firstLineChars="50"/>
              <w:rPr>
                <w:rFonts w:hint="eastAsia" w:ascii="Times New Roman" w:hAnsi="Times New Roman" w:eastAsia="仿宋_GB2312"/>
                <w:sz w:val="28"/>
                <w:szCs w:val="28"/>
              </w:rPr>
            </w:pPr>
            <w:r>
              <w:rPr>
                <w:rFonts w:ascii="Times New Roman" w:hAnsi="Times New Roman" w:eastAsia="仿宋_GB2312"/>
                <w:sz w:val="28"/>
                <w:szCs w:val="28"/>
              </w:rPr>
              <w:t>抄送：县委办、县人大办、县政协办</w:t>
            </w:r>
            <w:r>
              <w:rPr>
                <w:rFonts w:hint="eastAsia" w:ascii="Times New Roman" w:hAnsi="Times New Roman" w:eastAsia="仿宋_GB2312"/>
                <w:sz w:val="28"/>
                <w:szCs w:val="28"/>
              </w:rPr>
              <w:t>。</w:t>
            </w:r>
          </w:p>
        </w:tc>
      </w:tr>
      <w:tr w14:paraId="2E2EF1C2">
        <w:tblPrEx>
          <w:tblBorders>
            <w:top w:val="single" w:color="auto" w:sz="4" w:space="0"/>
            <w:left w:val="none" w:color="auto" w:sz="0" w:space="0"/>
            <w:bottom w:val="single" w:color="auto" w:sz="4" w:space="0"/>
            <w:right w:val="none" w:color="auto" w:sz="0" w:space="0"/>
            <w:insideH w:val="single" w:color="auto" w:sz="2" w:space="0"/>
            <w:insideV w:val="none" w:color="auto" w:sz="0" w:space="0"/>
          </w:tblBorders>
          <w:tblCellMar>
            <w:top w:w="0" w:type="dxa"/>
            <w:left w:w="108" w:type="dxa"/>
            <w:bottom w:w="0" w:type="dxa"/>
            <w:right w:w="108" w:type="dxa"/>
          </w:tblCellMar>
        </w:tblPrEx>
        <w:trPr>
          <w:trHeight w:val="624" w:hRule="atLeast"/>
          <w:jc w:val="center"/>
        </w:trPr>
        <w:tc>
          <w:tcPr>
            <w:tcW w:w="9015" w:type="dxa"/>
            <w:noWrap w:val="0"/>
            <w:vAlign w:val="center"/>
          </w:tcPr>
          <w:p w14:paraId="35461174">
            <w:pPr>
              <w:ind w:firstLine="134" w:firstLineChars="50"/>
              <w:rPr>
                <w:rFonts w:ascii="Times New Roman" w:hAnsi="Times New Roman" w:eastAsia="仿宋_GB2312"/>
                <w:sz w:val="28"/>
                <w:szCs w:val="28"/>
              </w:rPr>
            </w:pPr>
            <w:r>
              <w:rPr>
                <w:rFonts w:ascii="Times New Roman" w:hAnsi="Times New Roman" w:eastAsia="仿宋_GB2312"/>
                <w:sz w:val="28"/>
                <w:szCs w:val="28"/>
              </w:rPr>
              <w:t xml:space="preserve">全州县人民政府办公室                   </w:t>
            </w:r>
            <w:r>
              <w:rPr>
                <w:rFonts w:hint="eastAsia" w:ascii="Times New Roman" w:hAnsi="Times New Roman" w:eastAsia="仿宋_GB2312"/>
                <w:sz w:val="28"/>
                <w:szCs w:val="28"/>
                <w:lang w:val="en-US" w:eastAsia="zh-CN"/>
              </w:rPr>
              <w:t xml:space="preserve">    </w:t>
            </w:r>
            <w:r>
              <w:rPr>
                <w:rFonts w:ascii="Times New Roman" w:hAnsi="Times New Roman" w:eastAsia="仿宋_GB2312"/>
                <w:sz w:val="28"/>
                <w:szCs w:val="28"/>
              </w:rPr>
              <w:t xml:space="preserve">  </w:t>
            </w:r>
            <w:r>
              <w:rPr>
                <w:rFonts w:hint="default" w:ascii="Times New Roman" w:hAnsi="Times New Roman" w:eastAsia="仿宋_GB2312" w:cs="Times New Roman"/>
                <w:sz w:val="28"/>
                <w:szCs w:val="28"/>
                <w:lang w:eastAsia="zh-CN"/>
              </w:rPr>
              <w:t>2022</w:t>
            </w:r>
            <w:r>
              <w:rPr>
                <w:rFonts w:hint="default" w:ascii="Times New Roman" w:hAnsi="Times New Roman" w:eastAsia="仿宋_GB2312" w:cs="Times New Roman"/>
                <w:sz w:val="28"/>
                <w:szCs w:val="28"/>
              </w:rPr>
              <w:t>年</w:t>
            </w:r>
            <w:r>
              <w:rPr>
                <w:rFonts w:hint="default" w:ascii="Times New Roman" w:hAnsi="Times New Roman" w:eastAsia="仿宋_GB2312" w:cs="Times New Roman"/>
                <w:sz w:val="28"/>
                <w:szCs w:val="28"/>
                <w:lang w:val="en-US" w:eastAsia="zh-CN"/>
              </w:rPr>
              <w:t>4</w:t>
            </w:r>
            <w:r>
              <w:rPr>
                <w:rFonts w:hint="default" w:ascii="Times New Roman" w:hAnsi="Times New Roman" w:eastAsia="仿宋_GB2312" w:cs="Times New Roman"/>
                <w:sz w:val="28"/>
                <w:szCs w:val="28"/>
              </w:rPr>
              <w:t>月</w:t>
            </w:r>
            <w:r>
              <w:rPr>
                <w:rFonts w:hint="default" w:ascii="Times New Roman" w:hAnsi="Times New Roman" w:eastAsia="仿宋_GB2312" w:cs="Times New Roman"/>
                <w:sz w:val="28"/>
                <w:szCs w:val="28"/>
                <w:lang w:val="en-US" w:eastAsia="zh-CN"/>
              </w:rPr>
              <w:t>11</w:t>
            </w:r>
            <w:r>
              <w:rPr>
                <w:rFonts w:hint="default" w:ascii="Times New Roman" w:hAnsi="Times New Roman" w:eastAsia="仿宋_GB2312" w:cs="Times New Roman"/>
                <w:sz w:val="28"/>
                <w:szCs w:val="28"/>
              </w:rPr>
              <w:t>日印</w:t>
            </w:r>
            <w:r>
              <w:rPr>
                <w:rFonts w:ascii="Times New Roman" w:hAnsi="Times New Roman" w:eastAsia="仿宋_GB2312"/>
                <w:sz w:val="28"/>
                <w:szCs w:val="28"/>
              </w:rPr>
              <w:t>发</w:t>
            </w:r>
          </w:p>
        </w:tc>
      </w:tr>
    </w:tbl>
    <w:p w14:paraId="36255A5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rPr>
      </w:pPr>
    </w:p>
    <w:sectPr>
      <w:footerReference r:id="rId3" w:type="default"/>
      <w:pgSz w:w="11906" w:h="16838"/>
      <w:pgMar w:top="2098" w:right="1304" w:bottom="1304" w:left="1587" w:header="851" w:footer="992" w:gutter="0"/>
      <w:pgNumType w:fmt="numberInDash" w:start="1"/>
      <w:cols w:space="425" w:num="1"/>
      <w:docGrid w:type="linesAndChars" w:linePitch="296" w:charSpace="-262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917B1">
    <w:pPr>
      <w:pStyle w:val="10"/>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nCy0LNwIAAG8EAAAOAAAAAAAAAAEAIAAAAB8BAABkcnMvZTJvRG9jLnht&#10;bFBLBQYAAAAABgAGAFkBAADIBQAAAAA=&#10;">
          <v:path/>
          <v:fill on="f" focussize="0,0"/>
          <v:stroke on="f" weight="0.5pt" joinstyle="miter"/>
          <v:imagedata o:title=""/>
          <o:lock v:ext="edit"/>
          <v:textbox inset="0mm,0mm,0mm,0mm" style="mso-fit-shape-to-text:t;">
            <w:txbxContent>
              <w:p w14:paraId="3BE07CB2">
                <w:pPr>
                  <w:pStyle w:val="10"/>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- 1 -</w:t>
                </w:r>
                <w:r>
                  <w:rPr>
                    <w:rFonts w:hint="eastAsia" w:ascii="仿宋_GB2312" w:hAnsi="仿宋_GB2312" w:eastAsia="仿宋_GB2312" w:cs="仿宋_GB2312"/>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8431A"/>
    <w:multiLevelType w:val="singleLevel"/>
    <w:tmpl w:val="C1D8431A"/>
    <w:lvl w:ilvl="0" w:tentative="0">
      <w:start w:val="1"/>
      <w:numFmt w:val="chineseCounting"/>
      <w:suff w:val="space"/>
      <w:lvlText w:val="第%1节"/>
      <w:lvlJc w:val="left"/>
      <w:rPr>
        <w:rFonts w:hint="eastAsia" w:ascii="楷体_GB2312" w:hAnsi="楷体_GB2312" w:eastAsia="楷体_GB2312" w:cs="楷体_GB2312"/>
      </w:rPr>
    </w:lvl>
  </w:abstractNum>
  <w:abstractNum w:abstractNumId="1">
    <w:nsid w:val="D00E0D3A"/>
    <w:multiLevelType w:val="singleLevel"/>
    <w:tmpl w:val="D00E0D3A"/>
    <w:lvl w:ilvl="0" w:tentative="0">
      <w:start w:val="3"/>
      <w:numFmt w:val="chineseCounting"/>
      <w:suff w:val="nothing"/>
      <w:lvlText w:val="%1、"/>
      <w:lvlJc w:val="left"/>
      <w:rPr>
        <w:rFonts w:hint="eastAsia"/>
      </w:rPr>
    </w:lvl>
  </w:abstractNum>
  <w:abstractNum w:abstractNumId="2">
    <w:nsid w:val="F4EC9939"/>
    <w:multiLevelType w:val="singleLevel"/>
    <w:tmpl w:val="F4EC9939"/>
    <w:lvl w:ilvl="0" w:tentative="0">
      <w:start w:val="1"/>
      <w:numFmt w:val="chineseCounting"/>
      <w:suff w:val="space"/>
      <w:lvlText w:val="第%1节"/>
      <w:lvlJc w:val="left"/>
      <w:rPr>
        <w:rFonts w:hint="eastAsia"/>
      </w:rPr>
    </w:lvl>
  </w:abstractNum>
  <w:abstractNum w:abstractNumId="3">
    <w:nsid w:val="48648711"/>
    <w:multiLevelType w:val="singleLevel"/>
    <w:tmpl w:val="48648711"/>
    <w:lvl w:ilvl="0" w:tentative="0">
      <w:start w:val="2"/>
      <w:numFmt w:val="chineseCounting"/>
      <w:suff w:val="nothing"/>
      <w:lvlText w:val="%1、"/>
      <w:lvlJc w:val="left"/>
      <w:pPr>
        <w:ind w:left="-179"/>
      </w:pPr>
      <w:rPr>
        <w:rFonts w:hint="eastAsia" w:ascii="黑体" w:hAnsi="黑体" w:eastAsia="黑体" w:cs="黑体"/>
        <w:sz w:val="32"/>
        <w:szCs w:val="32"/>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97"/>
  <w:drawingGridVerticalSpacing w:val="148"/>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RmNDc3OGQ4OTg3MmRmOTU1YjliY2U4MTdlYzU0ZTcifQ=="/>
  </w:docVars>
  <w:rsids>
    <w:rsidRoot w:val="73C455A6"/>
    <w:rsid w:val="00002DBA"/>
    <w:rsid w:val="00003F15"/>
    <w:rsid w:val="0000413A"/>
    <w:rsid w:val="000061F8"/>
    <w:rsid w:val="00006282"/>
    <w:rsid w:val="00010BB0"/>
    <w:rsid w:val="00017154"/>
    <w:rsid w:val="0002228E"/>
    <w:rsid w:val="0002248D"/>
    <w:rsid w:val="000225AB"/>
    <w:rsid w:val="00026728"/>
    <w:rsid w:val="000367C3"/>
    <w:rsid w:val="00036C22"/>
    <w:rsid w:val="0005515E"/>
    <w:rsid w:val="00061798"/>
    <w:rsid w:val="00061A20"/>
    <w:rsid w:val="000655F2"/>
    <w:rsid w:val="000712B6"/>
    <w:rsid w:val="00072992"/>
    <w:rsid w:val="000737F8"/>
    <w:rsid w:val="0007690F"/>
    <w:rsid w:val="0008194A"/>
    <w:rsid w:val="000851E1"/>
    <w:rsid w:val="00087D7B"/>
    <w:rsid w:val="000923F4"/>
    <w:rsid w:val="00094C6A"/>
    <w:rsid w:val="00096B38"/>
    <w:rsid w:val="000A793E"/>
    <w:rsid w:val="000B16A1"/>
    <w:rsid w:val="000B37E5"/>
    <w:rsid w:val="000B4160"/>
    <w:rsid w:val="000C70BB"/>
    <w:rsid w:val="000D013A"/>
    <w:rsid w:val="000D0734"/>
    <w:rsid w:val="000D2A46"/>
    <w:rsid w:val="000F12FC"/>
    <w:rsid w:val="000F1886"/>
    <w:rsid w:val="000F2434"/>
    <w:rsid w:val="000F75D8"/>
    <w:rsid w:val="000F7F90"/>
    <w:rsid w:val="0010524C"/>
    <w:rsid w:val="00114300"/>
    <w:rsid w:val="001164D8"/>
    <w:rsid w:val="001224C4"/>
    <w:rsid w:val="001227F5"/>
    <w:rsid w:val="0012658C"/>
    <w:rsid w:val="00130055"/>
    <w:rsid w:val="00133BF2"/>
    <w:rsid w:val="001359D4"/>
    <w:rsid w:val="00140FFF"/>
    <w:rsid w:val="00143FCC"/>
    <w:rsid w:val="00150048"/>
    <w:rsid w:val="001576EE"/>
    <w:rsid w:val="00157BB2"/>
    <w:rsid w:val="00161505"/>
    <w:rsid w:val="00167399"/>
    <w:rsid w:val="00170493"/>
    <w:rsid w:val="0017265A"/>
    <w:rsid w:val="0018049F"/>
    <w:rsid w:val="00180DF9"/>
    <w:rsid w:val="00181471"/>
    <w:rsid w:val="00181F9E"/>
    <w:rsid w:val="00182007"/>
    <w:rsid w:val="00185C03"/>
    <w:rsid w:val="00187418"/>
    <w:rsid w:val="001A0E47"/>
    <w:rsid w:val="001A101C"/>
    <w:rsid w:val="001A24C8"/>
    <w:rsid w:val="001A2DA4"/>
    <w:rsid w:val="001A481C"/>
    <w:rsid w:val="001A5D63"/>
    <w:rsid w:val="001A7971"/>
    <w:rsid w:val="001B0CAD"/>
    <w:rsid w:val="001B2B30"/>
    <w:rsid w:val="001B7373"/>
    <w:rsid w:val="001C466D"/>
    <w:rsid w:val="001D6FDC"/>
    <w:rsid w:val="001F5A51"/>
    <w:rsid w:val="001F74C2"/>
    <w:rsid w:val="001F7520"/>
    <w:rsid w:val="001F77EB"/>
    <w:rsid w:val="00200237"/>
    <w:rsid w:val="002015CC"/>
    <w:rsid w:val="00213323"/>
    <w:rsid w:val="00222900"/>
    <w:rsid w:val="002269AE"/>
    <w:rsid w:val="00232E76"/>
    <w:rsid w:val="00233C5D"/>
    <w:rsid w:val="00235EE8"/>
    <w:rsid w:val="002416A2"/>
    <w:rsid w:val="00251B2D"/>
    <w:rsid w:val="0025278E"/>
    <w:rsid w:val="002600E1"/>
    <w:rsid w:val="00263A09"/>
    <w:rsid w:val="00264414"/>
    <w:rsid w:val="00264EBB"/>
    <w:rsid w:val="00275C3C"/>
    <w:rsid w:val="00291BA1"/>
    <w:rsid w:val="00296037"/>
    <w:rsid w:val="002A2D8D"/>
    <w:rsid w:val="002A5D68"/>
    <w:rsid w:val="002B1871"/>
    <w:rsid w:val="002B22C2"/>
    <w:rsid w:val="002B2B27"/>
    <w:rsid w:val="002B7642"/>
    <w:rsid w:val="002D0841"/>
    <w:rsid w:val="002D56BD"/>
    <w:rsid w:val="002D79A1"/>
    <w:rsid w:val="002E284E"/>
    <w:rsid w:val="002E3061"/>
    <w:rsid w:val="002E3221"/>
    <w:rsid w:val="002E531B"/>
    <w:rsid w:val="002E5927"/>
    <w:rsid w:val="002E6E8E"/>
    <w:rsid w:val="002F3053"/>
    <w:rsid w:val="002F4E5F"/>
    <w:rsid w:val="00300007"/>
    <w:rsid w:val="0030717A"/>
    <w:rsid w:val="00313BBB"/>
    <w:rsid w:val="003240DC"/>
    <w:rsid w:val="003255B4"/>
    <w:rsid w:val="00340089"/>
    <w:rsid w:val="00341531"/>
    <w:rsid w:val="003433A0"/>
    <w:rsid w:val="00351168"/>
    <w:rsid w:val="00356A2E"/>
    <w:rsid w:val="003641AF"/>
    <w:rsid w:val="0037247B"/>
    <w:rsid w:val="0037398A"/>
    <w:rsid w:val="003836CB"/>
    <w:rsid w:val="00384D00"/>
    <w:rsid w:val="00386216"/>
    <w:rsid w:val="00386712"/>
    <w:rsid w:val="00390F74"/>
    <w:rsid w:val="003917E2"/>
    <w:rsid w:val="00392040"/>
    <w:rsid w:val="00394DD3"/>
    <w:rsid w:val="00395FD2"/>
    <w:rsid w:val="00396DB1"/>
    <w:rsid w:val="003A3B83"/>
    <w:rsid w:val="003A6ADA"/>
    <w:rsid w:val="003A701C"/>
    <w:rsid w:val="003B0C2A"/>
    <w:rsid w:val="003B0D0A"/>
    <w:rsid w:val="003B1618"/>
    <w:rsid w:val="003B5868"/>
    <w:rsid w:val="003B64C6"/>
    <w:rsid w:val="003C4773"/>
    <w:rsid w:val="003D4F70"/>
    <w:rsid w:val="003D70C3"/>
    <w:rsid w:val="003D7FB4"/>
    <w:rsid w:val="003E4125"/>
    <w:rsid w:val="003E6398"/>
    <w:rsid w:val="003F1897"/>
    <w:rsid w:val="003F5B63"/>
    <w:rsid w:val="004006E9"/>
    <w:rsid w:val="00402C53"/>
    <w:rsid w:val="004122F1"/>
    <w:rsid w:val="00420701"/>
    <w:rsid w:val="0042183C"/>
    <w:rsid w:val="004251F6"/>
    <w:rsid w:val="00432F60"/>
    <w:rsid w:val="00433184"/>
    <w:rsid w:val="004337E7"/>
    <w:rsid w:val="00435467"/>
    <w:rsid w:val="004362AC"/>
    <w:rsid w:val="00437DCF"/>
    <w:rsid w:val="00441C6A"/>
    <w:rsid w:val="00446EF6"/>
    <w:rsid w:val="00451BA0"/>
    <w:rsid w:val="00453EA2"/>
    <w:rsid w:val="0045538D"/>
    <w:rsid w:val="00455D34"/>
    <w:rsid w:val="00461C24"/>
    <w:rsid w:val="00462B42"/>
    <w:rsid w:val="00463D60"/>
    <w:rsid w:val="00464A83"/>
    <w:rsid w:val="00475917"/>
    <w:rsid w:val="00475B43"/>
    <w:rsid w:val="00481D3A"/>
    <w:rsid w:val="00481E73"/>
    <w:rsid w:val="00485D20"/>
    <w:rsid w:val="004920A5"/>
    <w:rsid w:val="004927A9"/>
    <w:rsid w:val="00496F49"/>
    <w:rsid w:val="00497F2B"/>
    <w:rsid w:val="004A731A"/>
    <w:rsid w:val="004B1FC8"/>
    <w:rsid w:val="004B4DB5"/>
    <w:rsid w:val="004C2A16"/>
    <w:rsid w:val="004C2F70"/>
    <w:rsid w:val="004C30C1"/>
    <w:rsid w:val="004D6D9A"/>
    <w:rsid w:val="004D737F"/>
    <w:rsid w:val="004E15C7"/>
    <w:rsid w:val="004E2EB6"/>
    <w:rsid w:val="004E7169"/>
    <w:rsid w:val="004F0296"/>
    <w:rsid w:val="004F0459"/>
    <w:rsid w:val="0050018F"/>
    <w:rsid w:val="00500260"/>
    <w:rsid w:val="00512438"/>
    <w:rsid w:val="00514D02"/>
    <w:rsid w:val="005240F1"/>
    <w:rsid w:val="00525CBC"/>
    <w:rsid w:val="00527FE9"/>
    <w:rsid w:val="005319EC"/>
    <w:rsid w:val="00537E6D"/>
    <w:rsid w:val="00551702"/>
    <w:rsid w:val="00553B86"/>
    <w:rsid w:val="00565F1C"/>
    <w:rsid w:val="0057231B"/>
    <w:rsid w:val="00573167"/>
    <w:rsid w:val="005745FC"/>
    <w:rsid w:val="005838B1"/>
    <w:rsid w:val="0058682B"/>
    <w:rsid w:val="00590341"/>
    <w:rsid w:val="005933C4"/>
    <w:rsid w:val="00594A99"/>
    <w:rsid w:val="005B2EA7"/>
    <w:rsid w:val="005C30A6"/>
    <w:rsid w:val="005D0D19"/>
    <w:rsid w:val="005D58F5"/>
    <w:rsid w:val="005E75EC"/>
    <w:rsid w:val="005F0A33"/>
    <w:rsid w:val="005F1316"/>
    <w:rsid w:val="00600ACC"/>
    <w:rsid w:val="0060417A"/>
    <w:rsid w:val="00613240"/>
    <w:rsid w:val="00617E37"/>
    <w:rsid w:val="00623C2A"/>
    <w:rsid w:val="006365DC"/>
    <w:rsid w:val="0064523B"/>
    <w:rsid w:val="0066409A"/>
    <w:rsid w:val="00665275"/>
    <w:rsid w:val="00672458"/>
    <w:rsid w:val="00674D98"/>
    <w:rsid w:val="006823C7"/>
    <w:rsid w:val="00682896"/>
    <w:rsid w:val="00684CA7"/>
    <w:rsid w:val="00685746"/>
    <w:rsid w:val="006858AB"/>
    <w:rsid w:val="00692453"/>
    <w:rsid w:val="00694183"/>
    <w:rsid w:val="006A4286"/>
    <w:rsid w:val="006A4A9E"/>
    <w:rsid w:val="006B1BA6"/>
    <w:rsid w:val="006B1F3E"/>
    <w:rsid w:val="006B29E9"/>
    <w:rsid w:val="006B2BC0"/>
    <w:rsid w:val="006B31C4"/>
    <w:rsid w:val="006B7A38"/>
    <w:rsid w:val="006C05E9"/>
    <w:rsid w:val="006C0CB8"/>
    <w:rsid w:val="006C53D8"/>
    <w:rsid w:val="006C695E"/>
    <w:rsid w:val="006D234F"/>
    <w:rsid w:val="006D4BDB"/>
    <w:rsid w:val="006D5156"/>
    <w:rsid w:val="006E2432"/>
    <w:rsid w:val="006E331E"/>
    <w:rsid w:val="006E3609"/>
    <w:rsid w:val="006F41B8"/>
    <w:rsid w:val="006F47C3"/>
    <w:rsid w:val="006F7DE3"/>
    <w:rsid w:val="007058AD"/>
    <w:rsid w:val="0071212F"/>
    <w:rsid w:val="00712DC2"/>
    <w:rsid w:val="00713FD6"/>
    <w:rsid w:val="00725926"/>
    <w:rsid w:val="00730498"/>
    <w:rsid w:val="00731419"/>
    <w:rsid w:val="00733720"/>
    <w:rsid w:val="00737509"/>
    <w:rsid w:val="007425FF"/>
    <w:rsid w:val="00744901"/>
    <w:rsid w:val="00745131"/>
    <w:rsid w:val="00750634"/>
    <w:rsid w:val="00750B96"/>
    <w:rsid w:val="00756EE0"/>
    <w:rsid w:val="00767090"/>
    <w:rsid w:val="00770B22"/>
    <w:rsid w:val="0077397F"/>
    <w:rsid w:val="00775362"/>
    <w:rsid w:val="007777B0"/>
    <w:rsid w:val="00784177"/>
    <w:rsid w:val="00785E53"/>
    <w:rsid w:val="00787747"/>
    <w:rsid w:val="007903F2"/>
    <w:rsid w:val="00791507"/>
    <w:rsid w:val="007926BA"/>
    <w:rsid w:val="00793E7B"/>
    <w:rsid w:val="007A6BED"/>
    <w:rsid w:val="007C5FAD"/>
    <w:rsid w:val="007C6010"/>
    <w:rsid w:val="007D0DD4"/>
    <w:rsid w:val="007E3AB7"/>
    <w:rsid w:val="007E6830"/>
    <w:rsid w:val="007F49DB"/>
    <w:rsid w:val="007F5CC4"/>
    <w:rsid w:val="007F7665"/>
    <w:rsid w:val="007F7838"/>
    <w:rsid w:val="008124D0"/>
    <w:rsid w:val="00813376"/>
    <w:rsid w:val="00814A15"/>
    <w:rsid w:val="00815464"/>
    <w:rsid w:val="008160D7"/>
    <w:rsid w:val="0081735F"/>
    <w:rsid w:val="00820740"/>
    <w:rsid w:val="00823AB4"/>
    <w:rsid w:val="00825542"/>
    <w:rsid w:val="00831213"/>
    <w:rsid w:val="00832F7E"/>
    <w:rsid w:val="008368FC"/>
    <w:rsid w:val="00841267"/>
    <w:rsid w:val="0084312C"/>
    <w:rsid w:val="008471FB"/>
    <w:rsid w:val="00853130"/>
    <w:rsid w:val="008552CA"/>
    <w:rsid w:val="00860F00"/>
    <w:rsid w:val="00862392"/>
    <w:rsid w:val="00862A54"/>
    <w:rsid w:val="00862D5A"/>
    <w:rsid w:val="008717D1"/>
    <w:rsid w:val="0087391C"/>
    <w:rsid w:val="00873CE3"/>
    <w:rsid w:val="00875471"/>
    <w:rsid w:val="00885BB2"/>
    <w:rsid w:val="00887911"/>
    <w:rsid w:val="00892355"/>
    <w:rsid w:val="00897B03"/>
    <w:rsid w:val="008A375B"/>
    <w:rsid w:val="008A55F8"/>
    <w:rsid w:val="008A7AB9"/>
    <w:rsid w:val="008B38E1"/>
    <w:rsid w:val="008C2E32"/>
    <w:rsid w:val="008C702B"/>
    <w:rsid w:val="008E0736"/>
    <w:rsid w:val="008E64CA"/>
    <w:rsid w:val="008E71FF"/>
    <w:rsid w:val="008F7BEA"/>
    <w:rsid w:val="00900365"/>
    <w:rsid w:val="00901F46"/>
    <w:rsid w:val="00903906"/>
    <w:rsid w:val="00910B42"/>
    <w:rsid w:val="00911F8F"/>
    <w:rsid w:val="009123B4"/>
    <w:rsid w:val="00916363"/>
    <w:rsid w:val="00920040"/>
    <w:rsid w:val="00921051"/>
    <w:rsid w:val="00922182"/>
    <w:rsid w:val="00925569"/>
    <w:rsid w:val="009266CB"/>
    <w:rsid w:val="00943474"/>
    <w:rsid w:val="009436D2"/>
    <w:rsid w:val="009444A7"/>
    <w:rsid w:val="00945043"/>
    <w:rsid w:val="0095475D"/>
    <w:rsid w:val="00956F13"/>
    <w:rsid w:val="0095770D"/>
    <w:rsid w:val="00963B74"/>
    <w:rsid w:val="00965CE4"/>
    <w:rsid w:val="00972549"/>
    <w:rsid w:val="009834FA"/>
    <w:rsid w:val="00983BAC"/>
    <w:rsid w:val="00985ADD"/>
    <w:rsid w:val="00986541"/>
    <w:rsid w:val="00986B24"/>
    <w:rsid w:val="009938A8"/>
    <w:rsid w:val="0099527B"/>
    <w:rsid w:val="009A4403"/>
    <w:rsid w:val="009A4C00"/>
    <w:rsid w:val="009B642E"/>
    <w:rsid w:val="009B7C6F"/>
    <w:rsid w:val="009C0D4F"/>
    <w:rsid w:val="009C1E0B"/>
    <w:rsid w:val="009C279D"/>
    <w:rsid w:val="009C72A2"/>
    <w:rsid w:val="009D545E"/>
    <w:rsid w:val="009D5AF1"/>
    <w:rsid w:val="009D5F12"/>
    <w:rsid w:val="00A01AD2"/>
    <w:rsid w:val="00A04D34"/>
    <w:rsid w:val="00A11548"/>
    <w:rsid w:val="00A12113"/>
    <w:rsid w:val="00A127D2"/>
    <w:rsid w:val="00A403A0"/>
    <w:rsid w:val="00A45282"/>
    <w:rsid w:val="00A62F08"/>
    <w:rsid w:val="00A663B9"/>
    <w:rsid w:val="00A67AE8"/>
    <w:rsid w:val="00A70BDC"/>
    <w:rsid w:val="00A71E53"/>
    <w:rsid w:val="00A76D25"/>
    <w:rsid w:val="00A8479F"/>
    <w:rsid w:val="00A93C66"/>
    <w:rsid w:val="00A964CC"/>
    <w:rsid w:val="00A97030"/>
    <w:rsid w:val="00A97738"/>
    <w:rsid w:val="00AA2E28"/>
    <w:rsid w:val="00AA30C3"/>
    <w:rsid w:val="00AA3953"/>
    <w:rsid w:val="00AB4B4C"/>
    <w:rsid w:val="00AB5049"/>
    <w:rsid w:val="00AC3D6E"/>
    <w:rsid w:val="00AC743F"/>
    <w:rsid w:val="00AD0CC4"/>
    <w:rsid w:val="00AE02FC"/>
    <w:rsid w:val="00AE0BF3"/>
    <w:rsid w:val="00AE18E8"/>
    <w:rsid w:val="00AE44DE"/>
    <w:rsid w:val="00AE4BE6"/>
    <w:rsid w:val="00AE5C03"/>
    <w:rsid w:val="00AF54AD"/>
    <w:rsid w:val="00AF70FD"/>
    <w:rsid w:val="00B006A5"/>
    <w:rsid w:val="00B056C5"/>
    <w:rsid w:val="00B07EE7"/>
    <w:rsid w:val="00B111DD"/>
    <w:rsid w:val="00B176A1"/>
    <w:rsid w:val="00B218AE"/>
    <w:rsid w:val="00B21968"/>
    <w:rsid w:val="00B226B4"/>
    <w:rsid w:val="00B30B3F"/>
    <w:rsid w:val="00B341D8"/>
    <w:rsid w:val="00B42165"/>
    <w:rsid w:val="00B51582"/>
    <w:rsid w:val="00B572F1"/>
    <w:rsid w:val="00B5757D"/>
    <w:rsid w:val="00B67773"/>
    <w:rsid w:val="00B70E06"/>
    <w:rsid w:val="00B82433"/>
    <w:rsid w:val="00B9145E"/>
    <w:rsid w:val="00BA08D6"/>
    <w:rsid w:val="00BA415B"/>
    <w:rsid w:val="00BA69CA"/>
    <w:rsid w:val="00BB06D1"/>
    <w:rsid w:val="00BB0D73"/>
    <w:rsid w:val="00BB34BD"/>
    <w:rsid w:val="00BB58E5"/>
    <w:rsid w:val="00BC0A3E"/>
    <w:rsid w:val="00BC6972"/>
    <w:rsid w:val="00BD088B"/>
    <w:rsid w:val="00BD3944"/>
    <w:rsid w:val="00BD6921"/>
    <w:rsid w:val="00BD76E3"/>
    <w:rsid w:val="00BE5FC8"/>
    <w:rsid w:val="00C015A7"/>
    <w:rsid w:val="00C0196F"/>
    <w:rsid w:val="00C019F5"/>
    <w:rsid w:val="00C02722"/>
    <w:rsid w:val="00C04F83"/>
    <w:rsid w:val="00C10F20"/>
    <w:rsid w:val="00C14A5E"/>
    <w:rsid w:val="00C161C4"/>
    <w:rsid w:val="00C256DF"/>
    <w:rsid w:val="00C26B56"/>
    <w:rsid w:val="00C338C9"/>
    <w:rsid w:val="00C35203"/>
    <w:rsid w:val="00C36C5F"/>
    <w:rsid w:val="00C403B3"/>
    <w:rsid w:val="00C42788"/>
    <w:rsid w:val="00C4674E"/>
    <w:rsid w:val="00C47775"/>
    <w:rsid w:val="00C52EC2"/>
    <w:rsid w:val="00C541B0"/>
    <w:rsid w:val="00C63B2B"/>
    <w:rsid w:val="00C66190"/>
    <w:rsid w:val="00C67084"/>
    <w:rsid w:val="00C75129"/>
    <w:rsid w:val="00C75A9F"/>
    <w:rsid w:val="00C8016C"/>
    <w:rsid w:val="00C90936"/>
    <w:rsid w:val="00C92E1A"/>
    <w:rsid w:val="00C96CBA"/>
    <w:rsid w:val="00C975C4"/>
    <w:rsid w:val="00CA36DB"/>
    <w:rsid w:val="00CA78B2"/>
    <w:rsid w:val="00CB24BA"/>
    <w:rsid w:val="00CB3F4B"/>
    <w:rsid w:val="00CC3E4A"/>
    <w:rsid w:val="00CC48EF"/>
    <w:rsid w:val="00CC519D"/>
    <w:rsid w:val="00CC653D"/>
    <w:rsid w:val="00CD02DC"/>
    <w:rsid w:val="00CD1227"/>
    <w:rsid w:val="00CD52C1"/>
    <w:rsid w:val="00CF2F89"/>
    <w:rsid w:val="00CF4247"/>
    <w:rsid w:val="00CF514E"/>
    <w:rsid w:val="00CF5EDB"/>
    <w:rsid w:val="00D00577"/>
    <w:rsid w:val="00D0663C"/>
    <w:rsid w:val="00D06B16"/>
    <w:rsid w:val="00D206F4"/>
    <w:rsid w:val="00D23563"/>
    <w:rsid w:val="00D269E5"/>
    <w:rsid w:val="00D26F9B"/>
    <w:rsid w:val="00D31651"/>
    <w:rsid w:val="00D32612"/>
    <w:rsid w:val="00D35183"/>
    <w:rsid w:val="00D3656E"/>
    <w:rsid w:val="00D36DD8"/>
    <w:rsid w:val="00D379D7"/>
    <w:rsid w:val="00D43262"/>
    <w:rsid w:val="00D50393"/>
    <w:rsid w:val="00D73AE1"/>
    <w:rsid w:val="00D73EA1"/>
    <w:rsid w:val="00D74B64"/>
    <w:rsid w:val="00D7611A"/>
    <w:rsid w:val="00D80F3F"/>
    <w:rsid w:val="00D8638E"/>
    <w:rsid w:val="00D87D14"/>
    <w:rsid w:val="00D91FC1"/>
    <w:rsid w:val="00D962BD"/>
    <w:rsid w:val="00D96996"/>
    <w:rsid w:val="00DA3E1B"/>
    <w:rsid w:val="00DA432F"/>
    <w:rsid w:val="00DD2E09"/>
    <w:rsid w:val="00DD4D92"/>
    <w:rsid w:val="00DE62CE"/>
    <w:rsid w:val="00DE6CA9"/>
    <w:rsid w:val="00DE7E61"/>
    <w:rsid w:val="00DF19DA"/>
    <w:rsid w:val="00DF2003"/>
    <w:rsid w:val="00DF29C9"/>
    <w:rsid w:val="00DF4ADE"/>
    <w:rsid w:val="00E06DFA"/>
    <w:rsid w:val="00E07BD3"/>
    <w:rsid w:val="00E13F99"/>
    <w:rsid w:val="00E16508"/>
    <w:rsid w:val="00E173AD"/>
    <w:rsid w:val="00E23F43"/>
    <w:rsid w:val="00E2567A"/>
    <w:rsid w:val="00E40F13"/>
    <w:rsid w:val="00E429D2"/>
    <w:rsid w:val="00E43CB7"/>
    <w:rsid w:val="00E45777"/>
    <w:rsid w:val="00E47025"/>
    <w:rsid w:val="00E565D2"/>
    <w:rsid w:val="00E62182"/>
    <w:rsid w:val="00E62CB2"/>
    <w:rsid w:val="00E6665B"/>
    <w:rsid w:val="00E723DD"/>
    <w:rsid w:val="00E76CF3"/>
    <w:rsid w:val="00E802E9"/>
    <w:rsid w:val="00E840DB"/>
    <w:rsid w:val="00E91D96"/>
    <w:rsid w:val="00E9778A"/>
    <w:rsid w:val="00EA05DD"/>
    <w:rsid w:val="00EA0D7A"/>
    <w:rsid w:val="00EA2C35"/>
    <w:rsid w:val="00EA7E42"/>
    <w:rsid w:val="00EB3F6E"/>
    <w:rsid w:val="00EC0044"/>
    <w:rsid w:val="00EC10C9"/>
    <w:rsid w:val="00ED141F"/>
    <w:rsid w:val="00EE0226"/>
    <w:rsid w:val="00EE259F"/>
    <w:rsid w:val="00EE548F"/>
    <w:rsid w:val="00EF1842"/>
    <w:rsid w:val="00EF2922"/>
    <w:rsid w:val="00EF2F95"/>
    <w:rsid w:val="00EF786F"/>
    <w:rsid w:val="00F02961"/>
    <w:rsid w:val="00F04537"/>
    <w:rsid w:val="00F07B54"/>
    <w:rsid w:val="00F07BEA"/>
    <w:rsid w:val="00F16355"/>
    <w:rsid w:val="00F2063C"/>
    <w:rsid w:val="00F2116A"/>
    <w:rsid w:val="00F24352"/>
    <w:rsid w:val="00F25943"/>
    <w:rsid w:val="00F30CB2"/>
    <w:rsid w:val="00F32037"/>
    <w:rsid w:val="00F34A7D"/>
    <w:rsid w:val="00F359D1"/>
    <w:rsid w:val="00F40480"/>
    <w:rsid w:val="00F40F5D"/>
    <w:rsid w:val="00F42F1D"/>
    <w:rsid w:val="00F47639"/>
    <w:rsid w:val="00F57F24"/>
    <w:rsid w:val="00F63D4B"/>
    <w:rsid w:val="00F65909"/>
    <w:rsid w:val="00F733B2"/>
    <w:rsid w:val="00F8300C"/>
    <w:rsid w:val="00F838E2"/>
    <w:rsid w:val="00F9353D"/>
    <w:rsid w:val="00FB545F"/>
    <w:rsid w:val="00FB5AF5"/>
    <w:rsid w:val="00FB74D9"/>
    <w:rsid w:val="00FC10DB"/>
    <w:rsid w:val="00FC1A9C"/>
    <w:rsid w:val="00FC256B"/>
    <w:rsid w:val="00FC5A4C"/>
    <w:rsid w:val="00FC5E76"/>
    <w:rsid w:val="00FE0ADC"/>
    <w:rsid w:val="00FE3F62"/>
    <w:rsid w:val="00FF13CF"/>
    <w:rsid w:val="00FF2A4C"/>
    <w:rsid w:val="010617FB"/>
    <w:rsid w:val="014A5483"/>
    <w:rsid w:val="01673657"/>
    <w:rsid w:val="017E5F46"/>
    <w:rsid w:val="01A57350"/>
    <w:rsid w:val="01C3413E"/>
    <w:rsid w:val="01D168AA"/>
    <w:rsid w:val="01DA3C9A"/>
    <w:rsid w:val="021622D2"/>
    <w:rsid w:val="021A257B"/>
    <w:rsid w:val="02307C67"/>
    <w:rsid w:val="024242DF"/>
    <w:rsid w:val="02603A4C"/>
    <w:rsid w:val="0273219B"/>
    <w:rsid w:val="027F3B67"/>
    <w:rsid w:val="02C8350E"/>
    <w:rsid w:val="02CD0D7E"/>
    <w:rsid w:val="030B37C1"/>
    <w:rsid w:val="0331147A"/>
    <w:rsid w:val="0348384C"/>
    <w:rsid w:val="03753FBB"/>
    <w:rsid w:val="0382386B"/>
    <w:rsid w:val="03826169"/>
    <w:rsid w:val="0383237C"/>
    <w:rsid w:val="03C066E3"/>
    <w:rsid w:val="04283FB8"/>
    <w:rsid w:val="043056F6"/>
    <w:rsid w:val="043435B6"/>
    <w:rsid w:val="044F5842"/>
    <w:rsid w:val="04511EA2"/>
    <w:rsid w:val="046E1E57"/>
    <w:rsid w:val="046F6F66"/>
    <w:rsid w:val="047057AB"/>
    <w:rsid w:val="047A5D3B"/>
    <w:rsid w:val="049C7C46"/>
    <w:rsid w:val="04AE58C2"/>
    <w:rsid w:val="04BF4996"/>
    <w:rsid w:val="051E01ED"/>
    <w:rsid w:val="054C020E"/>
    <w:rsid w:val="057B3F39"/>
    <w:rsid w:val="05B25786"/>
    <w:rsid w:val="05B450EA"/>
    <w:rsid w:val="05BC6101"/>
    <w:rsid w:val="05C1678C"/>
    <w:rsid w:val="05CE19EC"/>
    <w:rsid w:val="06062165"/>
    <w:rsid w:val="0639523A"/>
    <w:rsid w:val="06654B03"/>
    <w:rsid w:val="066712E4"/>
    <w:rsid w:val="0691793B"/>
    <w:rsid w:val="06C13C1C"/>
    <w:rsid w:val="06E71A33"/>
    <w:rsid w:val="071B3CC8"/>
    <w:rsid w:val="071D6C52"/>
    <w:rsid w:val="075156C2"/>
    <w:rsid w:val="07712A6F"/>
    <w:rsid w:val="07767E1E"/>
    <w:rsid w:val="078E194A"/>
    <w:rsid w:val="07A8110A"/>
    <w:rsid w:val="07AB0809"/>
    <w:rsid w:val="07B51D4A"/>
    <w:rsid w:val="07B765D5"/>
    <w:rsid w:val="07E2404D"/>
    <w:rsid w:val="07FA7E2D"/>
    <w:rsid w:val="08016FA4"/>
    <w:rsid w:val="08073159"/>
    <w:rsid w:val="081C0597"/>
    <w:rsid w:val="086A271F"/>
    <w:rsid w:val="087127DB"/>
    <w:rsid w:val="08755C09"/>
    <w:rsid w:val="089A55C3"/>
    <w:rsid w:val="08A2764C"/>
    <w:rsid w:val="08D464E9"/>
    <w:rsid w:val="08FB65E4"/>
    <w:rsid w:val="09011208"/>
    <w:rsid w:val="095D65B1"/>
    <w:rsid w:val="09693CC2"/>
    <w:rsid w:val="097037C1"/>
    <w:rsid w:val="09706169"/>
    <w:rsid w:val="097C0402"/>
    <w:rsid w:val="099E5B23"/>
    <w:rsid w:val="09BB4210"/>
    <w:rsid w:val="09CC29B9"/>
    <w:rsid w:val="0A8366EA"/>
    <w:rsid w:val="0B0E2D7D"/>
    <w:rsid w:val="0B115723"/>
    <w:rsid w:val="0B285375"/>
    <w:rsid w:val="0B442FD8"/>
    <w:rsid w:val="0B57360C"/>
    <w:rsid w:val="0B5E2261"/>
    <w:rsid w:val="0B6015E5"/>
    <w:rsid w:val="0BBE1122"/>
    <w:rsid w:val="0BCD2240"/>
    <w:rsid w:val="0BCF1E75"/>
    <w:rsid w:val="0BD902FD"/>
    <w:rsid w:val="0BF830EC"/>
    <w:rsid w:val="0C0F3004"/>
    <w:rsid w:val="0C313AE0"/>
    <w:rsid w:val="0C337D83"/>
    <w:rsid w:val="0C397403"/>
    <w:rsid w:val="0C45503C"/>
    <w:rsid w:val="0C6C6FB1"/>
    <w:rsid w:val="0C782546"/>
    <w:rsid w:val="0C78723A"/>
    <w:rsid w:val="0C894C9A"/>
    <w:rsid w:val="0C96103C"/>
    <w:rsid w:val="0C9C60DF"/>
    <w:rsid w:val="0CC739C2"/>
    <w:rsid w:val="0CE0707E"/>
    <w:rsid w:val="0CE82E38"/>
    <w:rsid w:val="0D042B92"/>
    <w:rsid w:val="0D065A27"/>
    <w:rsid w:val="0D104CED"/>
    <w:rsid w:val="0D106497"/>
    <w:rsid w:val="0D94198B"/>
    <w:rsid w:val="0DC35C5C"/>
    <w:rsid w:val="0DD5046B"/>
    <w:rsid w:val="0DDA7E4F"/>
    <w:rsid w:val="0DE41CD6"/>
    <w:rsid w:val="0E103AB4"/>
    <w:rsid w:val="0E6C024B"/>
    <w:rsid w:val="0EA30FFF"/>
    <w:rsid w:val="0EB34F9F"/>
    <w:rsid w:val="0EC06DB9"/>
    <w:rsid w:val="0EC4442A"/>
    <w:rsid w:val="0F006F82"/>
    <w:rsid w:val="0F18647A"/>
    <w:rsid w:val="0F1F1BEB"/>
    <w:rsid w:val="0F483AE8"/>
    <w:rsid w:val="0F5363B9"/>
    <w:rsid w:val="0F746D01"/>
    <w:rsid w:val="0F86138F"/>
    <w:rsid w:val="0F895807"/>
    <w:rsid w:val="0F8A5694"/>
    <w:rsid w:val="0FB05078"/>
    <w:rsid w:val="0FC813D0"/>
    <w:rsid w:val="0FED2157"/>
    <w:rsid w:val="100176E3"/>
    <w:rsid w:val="100D5EF8"/>
    <w:rsid w:val="100E0F8D"/>
    <w:rsid w:val="10161CCF"/>
    <w:rsid w:val="101D06BC"/>
    <w:rsid w:val="102835C0"/>
    <w:rsid w:val="10386626"/>
    <w:rsid w:val="104373F1"/>
    <w:rsid w:val="10481362"/>
    <w:rsid w:val="10680442"/>
    <w:rsid w:val="109642E2"/>
    <w:rsid w:val="10A01069"/>
    <w:rsid w:val="10A13DD4"/>
    <w:rsid w:val="10CB05BB"/>
    <w:rsid w:val="10E20778"/>
    <w:rsid w:val="11136C7D"/>
    <w:rsid w:val="114B3C3C"/>
    <w:rsid w:val="11551A54"/>
    <w:rsid w:val="11575780"/>
    <w:rsid w:val="116229EF"/>
    <w:rsid w:val="1165349F"/>
    <w:rsid w:val="11701909"/>
    <w:rsid w:val="117D64FF"/>
    <w:rsid w:val="117E3F51"/>
    <w:rsid w:val="1181069A"/>
    <w:rsid w:val="11B67C5F"/>
    <w:rsid w:val="11BA155B"/>
    <w:rsid w:val="11D62B14"/>
    <w:rsid w:val="11EC1C70"/>
    <w:rsid w:val="120A5776"/>
    <w:rsid w:val="12105312"/>
    <w:rsid w:val="12235A46"/>
    <w:rsid w:val="1235562E"/>
    <w:rsid w:val="12392461"/>
    <w:rsid w:val="123C53D9"/>
    <w:rsid w:val="124A45B2"/>
    <w:rsid w:val="12540803"/>
    <w:rsid w:val="1281314C"/>
    <w:rsid w:val="128203FA"/>
    <w:rsid w:val="129A3B1D"/>
    <w:rsid w:val="12D855BB"/>
    <w:rsid w:val="13277C78"/>
    <w:rsid w:val="134649EA"/>
    <w:rsid w:val="138B73F7"/>
    <w:rsid w:val="13B82CF2"/>
    <w:rsid w:val="13EC4A0D"/>
    <w:rsid w:val="143C14F9"/>
    <w:rsid w:val="14494F43"/>
    <w:rsid w:val="14587D27"/>
    <w:rsid w:val="14665CBB"/>
    <w:rsid w:val="1466651C"/>
    <w:rsid w:val="14724EE2"/>
    <w:rsid w:val="1499542D"/>
    <w:rsid w:val="149A1F1C"/>
    <w:rsid w:val="14D168F4"/>
    <w:rsid w:val="151A1273"/>
    <w:rsid w:val="151A647D"/>
    <w:rsid w:val="151F3326"/>
    <w:rsid w:val="15266848"/>
    <w:rsid w:val="15427DF0"/>
    <w:rsid w:val="157E6C79"/>
    <w:rsid w:val="1592466C"/>
    <w:rsid w:val="15BE60B2"/>
    <w:rsid w:val="15D56B1B"/>
    <w:rsid w:val="16181C86"/>
    <w:rsid w:val="169D14F0"/>
    <w:rsid w:val="16AB537A"/>
    <w:rsid w:val="170377C5"/>
    <w:rsid w:val="17372C6F"/>
    <w:rsid w:val="17E15195"/>
    <w:rsid w:val="17EB3663"/>
    <w:rsid w:val="17EE47D1"/>
    <w:rsid w:val="17F41EC9"/>
    <w:rsid w:val="180203F3"/>
    <w:rsid w:val="188748B5"/>
    <w:rsid w:val="189B3F8B"/>
    <w:rsid w:val="18B442A8"/>
    <w:rsid w:val="18C85733"/>
    <w:rsid w:val="18F330D3"/>
    <w:rsid w:val="191942C4"/>
    <w:rsid w:val="1949662C"/>
    <w:rsid w:val="19627C2B"/>
    <w:rsid w:val="197A3EB3"/>
    <w:rsid w:val="197C449B"/>
    <w:rsid w:val="19E06AEA"/>
    <w:rsid w:val="19E94523"/>
    <w:rsid w:val="19EA2623"/>
    <w:rsid w:val="19F404B3"/>
    <w:rsid w:val="19F655DA"/>
    <w:rsid w:val="1A0E6653"/>
    <w:rsid w:val="1A1B0CE7"/>
    <w:rsid w:val="1A3D4764"/>
    <w:rsid w:val="1A764097"/>
    <w:rsid w:val="1AA030FE"/>
    <w:rsid w:val="1AA85FA8"/>
    <w:rsid w:val="1AAD7943"/>
    <w:rsid w:val="1ACF58C4"/>
    <w:rsid w:val="1AD30DD5"/>
    <w:rsid w:val="1AD67DB4"/>
    <w:rsid w:val="1B5F3400"/>
    <w:rsid w:val="1B823205"/>
    <w:rsid w:val="1B8E2AEC"/>
    <w:rsid w:val="1B944F25"/>
    <w:rsid w:val="1BAF66AE"/>
    <w:rsid w:val="1BC76319"/>
    <w:rsid w:val="1C5F0C15"/>
    <w:rsid w:val="1C796219"/>
    <w:rsid w:val="1C797D7B"/>
    <w:rsid w:val="1C8D7BA6"/>
    <w:rsid w:val="1CEB3A6E"/>
    <w:rsid w:val="1CFB7321"/>
    <w:rsid w:val="1CFC1298"/>
    <w:rsid w:val="1D255F21"/>
    <w:rsid w:val="1D2E35B6"/>
    <w:rsid w:val="1D521946"/>
    <w:rsid w:val="1D6F68DB"/>
    <w:rsid w:val="1D7A6887"/>
    <w:rsid w:val="1DA12CBC"/>
    <w:rsid w:val="1DC32B80"/>
    <w:rsid w:val="1DCC0501"/>
    <w:rsid w:val="1DCC6D04"/>
    <w:rsid w:val="1DDD354F"/>
    <w:rsid w:val="1DF25E38"/>
    <w:rsid w:val="1E091B03"/>
    <w:rsid w:val="1E0C05DC"/>
    <w:rsid w:val="1E0D28A7"/>
    <w:rsid w:val="1E846B03"/>
    <w:rsid w:val="1EA56B59"/>
    <w:rsid w:val="1EE60135"/>
    <w:rsid w:val="1F28248C"/>
    <w:rsid w:val="1F7570AE"/>
    <w:rsid w:val="1F9E3290"/>
    <w:rsid w:val="1FBB405A"/>
    <w:rsid w:val="1FDE146E"/>
    <w:rsid w:val="20144411"/>
    <w:rsid w:val="201A62D6"/>
    <w:rsid w:val="20527AB2"/>
    <w:rsid w:val="20701723"/>
    <w:rsid w:val="20894DEA"/>
    <w:rsid w:val="208B7A27"/>
    <w:rsid w:val="20C20930"/>
    <w:rsid w:val="20CC5611"/>
    <w:rsid w:val="21640D3E"/>
    <w:rsid w:val="2192303A"/>
    <w:rsid w:val="219F24C2"/>
    <w:rsid w:val="21B0656C"/>
    <w:rsid w:val="21E42A61"/>
    <w:rsid w:val="22192327"/>
    <w:rsid w:val="22607976"/>
    <w:rsid w:val="229D272E"/>
    <w:rsid w:val="22C13135"/>
    <w:rsid w:val="22F261A1"/>
    <w:rsid w:val="23286F6A"/>
    <w:rsid w:val="233A0404"/>
    <w:rsid w:val="23995C6E"/>
    <w:rsid w:val="23D7335F"/>
    <w:rsid w:val="23E91D7E"/>
    <w:rsid w:val="23FE0ACC"/>
    <w:rsid w:val="24035DC4"/>
    <w:rsid w:val="244C056D"/>
    <w:rsid w:val="24594418"/>
    <w:rsid w:val="24763AE2"/>
    <w:rsid w:val="24772BE7"/>
    <w:rsid w:val="24CE3EF9"/>
    <w:rsid w:val="24D2799E"/>
    <w:rsid w:val="24D43040"/>
    <w:rsid w:val="24DF07FA"/>
    <w:rsid w:val="24F73345"/>
    <w:rsid w:val="24F76DD3"/>
    <w:rsid w:val="25097E21"/>
    <w:rsid w:val="250A5FFB"/>
    <w:rsid w:val="25307656"/>
    <w:rsid w:val="2540220A"/>
    <w:rsid w:val="258D2E26"/>
    <w:rsid w:val="25936AA9"/>
    <w:rsid w:val="25B50E78"/>
    <w:rsid w:val="260859C3"/>
    <w:rsid w:val="26173AB2"/>
    <w:rsid w:val="26316D26"/>
    <w:rsid w:val="263C7ADE"/>
    <w:rsid w:val="264A5113"/>
    <w:rsid w:val="266E219D"/>
    <w:rsid w:val="26AC38F1"/>
    <w:rsid w:val="26C415AB"/>
    <w:rsid w:val="26D26855"/>
    <w:rsid w:val="270871E4"/>
    <w:rsid w:val="271E1947"/>
    <w:rsid w:val="27265FC2"/>
    <w:rsid w:val="27324735"/>
    <w:rsid w:val="27335C32"/>
    <w:rsid w:val="273E7F2B"/>
    <w:rsid w:val="27990EA8"/>
    <w:rsid w:val="27A60725"/>
    <w:rsid w:val="27C2224D"/>
    <w:rsid w:val="27E70222"/>
    <w:rsid w:val="27FC1FA9"/>
    <w:rsid w:val="280108AA"/>
    <w:rsid w:val="28015175"/>
    <w:rsid w:val="28035A4D"/>
    <w:rsid w:val="28237B00"/>
    <w:rsid w:val="28500117"/>
    <w:rsid w:val="28767665"/>
    <w:rsid w:val="28901836"/>
    <w:rsid w:val="290E7C81"/>
    <w:rsid w:val="29162D42"/>
    <w:rsid w:val="292D7713"/>
    <w:rsid w:val="292E03A3"/>
    <w:rsid w:val="296E4B7C"/>
    <w:rsid w:val="29874E9C"/>
    <w:rsid w:val="298C67BE"/>
    <w:rsid w:val="29B32DEC"/>
    <w:rsid w:val="2A100147"/>
    <w:rsid w:val="2A1861E1"/>
    <w:rsid w:val="2A65681A"/>
    <w:rsid w:val="2A77178C"/>
    <w:rsid w:val="2A807F48"/>
    <w:rsid w:val="2ABA723D"/>
    <w:rsid w:val="2ADA0622"/>
    <w:rsid w:val="2AE46438"/>
    <w:rsid w:val="2AED2D5A"/>
    <w:rsid w:val="2B1E2305"/>
    <w:rsid w:val="2B264680"/>
    <w:rsid w:val="2B352BC5"/>
    <w:rsid w:val="2B36179E"/>
    <w:rsid w:val="2B3A6FC1"/>
    <w:rsid w:val="2B460609"/>
    <w:rsid w:val="2B561D73"/>
    <w:rsid w:val="2B792626"/>
    <w:rsid w:val="2B92273D"/>
    <w:rsid w:val="2BA02824"/>
    <w:rsid w:val="2BA51B04"/>
    <w:rsid w:val="2BB46D57"/>
    <w:rsid w:val="2BDD1D1A"/>
    <w:rsid w:val="2C04643D"/>
    <w:rsid w:val="2C207B0F"/>
    <w:rsid w:val="2C2D1BA1"/>
    <w:rsid w:val="2C2E3029"/>
    <w:rsid w:val="2C4E70A6"/>
    <w:rsid w:val="2C5B120D"/>
    <w:rsid w:val="2C861E1E"/>
    <w:rsid w:val="2CAD23F8"/>
    <w:rsid w:val="2CB724C4"/>
    <w:rsid w:val="2CC17B75"/>
    <w:rsid w:val="2CD758C3"/>
    <w:rsid w:val="2CD83503"/>
    <w:rsid w:val="2D1C6527"/>
    <w:rsid w:val="2D2D568C"/>
    <w:rsid w:val="2D486825"/>
    <w:rsid w:val="2D615704"/>
    <w:rsid w:val="2D635437"/>
    <w:rsid w:val="2D647283"/>
    <w:rsid w:val="2D954EC8"/>
    <w:rsid w:val="2DAA2009"/>
    <w:rsid w:val="2DBF1031"/>
    <w:rsid w:val="2DE51C62"/>
    <w:rsid w:val="2E1B2F82"/>
    <w:rsid w:val="2E1E0A33"/>
    <w:rsid w:val="2E324D54"/>
    <w:rsid w:val="2E8A568B"/>
    <w:rsid w:val="2EA860EA"/>
    <w:rsid w:val="2EB76957"/>
    <w:rsid w:val="2ED11BDD"/>
    <w:rsid w:val="2EDF7F7D"/>
    <w:rsid w:val="2EFE6329"/>
    <w:rsid w:val="2F065740"/>
    <w:rsid w:val="2F0D06A4"/>
    <w:rsid w:val="2F2343D1"/>
    <w:rsid w:val="2F2D5A9F"/>
    <w:rsid w:val="2F5F795A"/>
    <w:rsid w:val="2F6B43AD"/>
    <w:rsid w:val="2FC772DF"/>
    <w:rsid w:val="2FE3626E"/>
    <w:rsid w:val="2FE65116"/>
    <w:rsid w:val="300D4B0D"/>
    <w:rsid w:val="30165C83"/>
    <w:rsid w:val="301C550A"/>
    <w:rsid w:val="309B0006"/>
    <w:rsid w:val="30A309C4"/>
    <w:rsid w:val="30AF5572"/>
    <w:rsid w:val="30CD2A78"/>
    <w:rsid w:val="30D15C60"/>
    <w:rsid w:val="30DD531C"/>
    <w:rsid w:val="31051F81"/>
    <w:rsid w:val="31164990"/>
    <w:rsid w:val="314A6B97"/>
    <w:rsid w:val="31912992"/>
    <w:rsid w:val="319143AE"/>
    <w:rsid w:val="31A474E2"/>
    <w:rsid w:val="31D72256"/>
    <w:rsid w:val="31DD7058"/>
    <w:rsid w:val="32174D6B"/>
    <w:rsid w:val="32293045"/>
    <w:rsid w:val="32452861"/>
    <w:rsid w:val="3253675E"/>
    <w:rsid w:val="328D7EA2"/>
    <w:rsid w:val="32CB4085"/>
    <w:rsid w:val="32E5610E"/>
    <w:rsid w:val="32F8284C"/>
    <w:rsid w:val="33226B13"/>
    <w:rsid w:val="33230F03"/>
    <w:rsid w:val="335878F3"/>
    <w:rsid w:val="335A54B6"/>
    <w:rsid w:val="335F435F"/>
    <w:rsid w:val="33C130E5"/>
    <w:rsid w:val="33E716FC"/>
    <w:rsid w:val="34107E1A"/>
    <w:rsid w:val="34164790"/>
    <w:rsid w:val="343A4E03"/>
    <w:rsid w:val="347A1E43"/>
    <w:rsid w:val="348B4A3C"/>
    <w:rsid w:val="34BB7D8A"/>
    <w:rsid w:val="34CE4839"/>
    <w:rsid w:val="34FD5E33"/>
    <w:rsid w:val="35071874"/>
    <w:rsid w:val="35400DB8"/>
    <w:rsid w:val="354729EF"/>
    <w:rsid w:val="354E3B05"/>
    <w:rsid w:val="355423DE"/>
    <w:rsid w:val="356418B0"/>
    <w:rsid w:val="356C7E4F"/>
    <w:rsid w:val="3572374F"/>
    <w:rsid w:val="35724DC3"/>
    <w:rsid w:val="35D406B0"/>
    <w:rsid w:val="360759E6"/>
    <w:rsid w:val="363A0AF8"/>
    <w:rsid w:val="36520B7E"/>
    <w:rsid w:val="36593C6C"/>
    <w:rsid w:val="367762C1"/>
    <w:rsid w:val="367E2F55"/>
    <w:rsid w:val="368B24DC"/>
    <w:rsid w:val="36C41E85"/>
    <w:rsid w:val="36D10F15"/>
    <w:rsid w:val="36EF2963"/>
    <w:rsid w:val="371757A8"/>
    <w:rsid w:val="37575B17"/>
    <w:rsid w:val="37B53E38"/>
    <w:rsid w:val="37FE20EE"/>
    <w:rsid w:val="3801633F"/>
    <w:rsid w:val="380361EB"/>
    <w:rsid w:val="38042789"/>
    <w:rsid w:val="38156EE5"/>
    <w:rsid w:val="381639A9"/>
    <w:rsid w:val="38164E4E"/>
    <w:rsid w:val="382D27CD"/>
    <w:rsid w:val="3875452F"/>
    <w:rsid w:val="387555B7"/>
    <w:rsid w:val="388D0490"/>
    <w:rsid w:val="38A05977"/>
    <w:rsid w:val="38A23E61"/>
    <w:rsid w:val="38FB076D"/>
    <w:rsid w:val="38FF6467"/>
    <w:rsid w:val="391323E0"/>
    <w:rsid w:val="391C5D17"/>
    <w:rsid w:val="3926010C"/>
    <w:rsid w:val="393A3028"/>
    <w:rsid w:val="394641B8"/>
    <w:rsid w:val="39733035"/>
    <w:rsid w:val="397A6474"/>
    <w:rsid w:val="398A309E"/>
    <w:rsid w:val="399B68F0"/>
    <w:rsid w:val="39A7258C"/>
    <w:rsid w:val="39A92F0F"/>
    <w:rsid w:val="39BE0E71"/>
    <w:rsid w:val="39BF74C2"/>
    <w:rsid w:val="3A206914"/>
    <w:rsid w:val="3A3955CF"/>
    <w:rsid w:val="3A44139C"/>
    <w:rsid w:val="3A9F09B6"/>
    <w:rsid w:val="3AA27206"/>
    <w:rsid w:val="3B0A2808"/>
    <w:rsid w:val="3B1937D5"/>
    <w:rsid w:val="3B4F4967"/>
    <w:rsid w:val="3B5F3580"/>
    <w:rsid w:val="3B650185"/>
    <w:rsid w:val="3B7D46A8"/>
    <w:rsid w:val="3BB34AF2"/>
    <w:rsid w:val="3BB6636E"/>
    <w:rsid w:val="3BC56FB0"/>
    <w:rsid w:val="3BDF7092"/>
    <w:rsid w:val="3BE9330F"/>
    <w:rsid w:val="3C0913C5"/>
    <w:rsid w:val="3C4E3342"/>
    <w:rsid w:val="3C655DDC"/>
    <w:rsid w:val="3CB16B02"/>
    <w:rsid w:val="3CC81A8D"/>
    <w:rsid w:val="3CCE394C"/>
    <w:rsid w:val="3CEA7C48"/>
    <w:rsid w:val="3CEC0656"/>
    <w:rsid w:val="3D020F1B"/>
    <w:rsid w:val="3D2C5EED"/>
    <w:rsid w:val="3D3737BE"/>
    <w:rsid w:val="3D4A4CF7"/>
    <w:rsid w:val="3D5153AF"/>
    <w:rsid w:val="3D5653F7"/>
    <w:rsid w:val="3D712230"/>
    <w:rsid w:val="3D83078E"/>
    <w:rsid w:val="3D8B29C4"/>
    <w:rsid w:val="3D9F7936"/>
    <w:rsid w:val="3DAE63AC"/>
    <w:rsid w:val="3DDA0DE2"/>
    <w:rsid w:val="3DF64B40"/>
    <w:rsid w:val="3E086FD8"/>
    <w:rsid w:val="3E2B5F7C"/>
    <w:rsid w:val="3E581A12"/>
    <w:rsid w:val="3E657E1C"/>
    <w:rsid w:val="3EA1429E"/>
    <w:rsid w:val="3EA630B4"/>
    <w:rsid w:val="3EBE2306"/>
    <w:rsid w:val="3ED71E16"/>
    <w:rsid w:val="3F1671C5"/>
    <w:rsid w:val="3F4F53AA"/>
    <w:rsid w:val="3F5F67B4"/>
    <w:rsid w:val="3F6002AD"/>
    <w:rsid w:val="3F9243B5"/>
    <w:rsid w:val="3F9342F2"/>
    <w:rsid w:val="3FAE1286"/>
    <w:rsid w:val="3FB966F4"/>
    <w:rsid w:val="400D6812"/>
    <w:rsid w:val="403A181F"/>
    <w:rsid w:val="404B1E78"/>
    <w:rsid w:val="4062084C"/>
    <w:rsid w:val="406B1A02"/>
    <w:rsid w:val="406F11B0"/>
    <w:rsid w:val="407A7F27"/>
    <w:rsid w:val="40845C6C"/>
    <w:rsid w:val="40952C99"/>
    <w:rsid w:val="40DA5D3B"/>
    <w:rsid w:val="40E5246B"/>
    <w:rsid w:val="40E9104E"/>
    <w:rsid w:val="40FB0775"/>
    <w:rsid w:val="410640A0"/>
    <w:rsid w:val="41090565"/>
    <w:rsid w:val="411B253D"/>
    <w:rsid w:val="41397507"/>
    <w:rsid w:val="4154708D"/>
    <w:rsid w:val="41B6191D"/>
    <w:rsid w:val="41CD7A7E"/>
    <w:rsid w:val="4223586F"/>
    <w:rsid w:val="4226036F"/>
    <w:rsid w:val="426A7159"/>
    <w:rsid w:val="42716FA2"/>
    <w:rsid w:val="42824489"/>
    <w:rsid w:val="42976C2C"/>
    <w:rsid w:val="42DE4FE8"/>
    <w:rsid w:val="432042EA"/>
    <w:rsid w:val="436E5B49"/>
    <w:rsid w:val="43702BDF"/>
    <w:rsid w:val="438E4172"/>
    <w:rsid w:val="43972164"/>
    <w:rsid w:val="43B200A1"/>
    <w:rsid w:val="43B471D2"/>
    <w:rsid w:val="43D514ED"/>
    <w:rsid w:val="43D93C8C"/>
    <w:rsid w:val="43E97BE5"/>
    <w:rsid w:val="43FB51F1"/>
    <w:rsid w:val="44481F56"/>
    <w:rsid w:val="445757C2"/>
    <w:rsid w:val="44CE6708"/>
    <w:rsid w:val="44E07058"/>
    <w:rsid w:val="450D3E2A"/>
    <w:rsid w:val="45134B62"/>
    <w:rsid w:val="452C7900"/>
    <w:rsid w:val="454928A6"/>
    <w:rsid w:val="45554BCA"/>
    <w:rsid w:val="455A3CC4"/>
    <w:rsid w:val="456D5662"/>
    <w:rsid w:val="45756EFC"/>
    <w:rsid w:val="4593015A"/>
    <w:rsid w:val="45AC3BE6"/>
    <w:rsid w:val="45D83C03"/>
    <w:rsid w:val="45E51239"/>
    <w:rsid w:val="46053EB9"/>
    <w:rsid w:val="4636234F"/>
    <w:rsid w:val="46557CB4"/>
    <w:rsid w:val="466F4E83"/>
    <w:rsid w:val="4674337E"/>
    <w:rsid w:val="46B2348C"/>
    <w:rsid w:val="46BE2CD2"/>
    <w:rsid w:val="46D43C7E"/>
    <w:rsid w:val="46D4735D"/>
    <w:rsid w:val="46D84013"/>
    <w:rsid w:val="46EF0BF1"/>
    <w:rsid w:val="46FC4E8B"/>
    <w:rsid w:val="47020554"/>
    <w:rsid w:val="471B0405"/>
    <w:rsid w:val="472C53BF"/>
    <w:rsid w:val="47662A0B"/>
    <w:rsid w:val="4779140F"/>
    <w:rsid w:val="477A3555"/>
    <w:rsid w:val="479C6500"/>
    <w:rsid w:val="47AF7DE6"/>
    <w:rsid w:val="47BA3C6C"/>
    <w:rsid w:val="47BA688D"/>
    <w:rsid w:val="47BD43D3"/>
    <w:rsid w:val="47FE454E"/>
    <w:rsid w:val="482668D5"/>
    <w:rsid w:val="4858543F"/>
    <w:rsid w:val="48681C5F"/>
    <w:rsid w:val="49164D83"/>
    <w:rsid w:val="498E57FF"/>
    <w:rsid w:val="49CA075D"/>
    <w:rsid w:val="49D53737"/>
    <w:rsid w:val="49D65A80"/>
    <w:rsid w:val="4A063B48"/>
    <w:rsid w:val="4A462FC9"/>
    <w:rsid w:val="4A530335"/>
    <w:rsid w:val="4A7715EB"/>
    <w:rsid w:val="4A9A2899"/>
    <w:rsid w:val="4AA91806"/>
    <w:rsid w:val="4ACD34A2"/>
    <w:rsid w:val="4ACE09D5"/>
    <w:rsid w:val="4B4E024C"/>
    <w:rsid w:val="4B7A7E67"/>
    <w:rsid w:val="4B7D0D9D"/>
    <w:rsid w:val="4B831FA8"/>
    <w:rsid w:val="4C111085"/>
    <w:rsid w:val="4C44209A"/>
    <w:rsid w:val="4C9001E3"/>
    <w:rsid w:val="4CA50D45"/>
    <w:rsid w:val="4CB25969"/>
    <w:rsid w:val="4CB27C66"/>
    <w:rsid w:val="4CBE6EC6"/>
    <w:rsid w:val="4CC209F2"/>
    <w:rsid w:val="4CEC3B63"/>
    <w:rsid w:val="4CF14043"/>
    <w:rsid w:val="4D006E12"/>
    <w:rsid w:val="4D144751"/>
    <w:rsid w:val="4D2F220F"/>
    <w:rsid w:val="4D6A7227"/>
    <w:rsid w:val="4D951C6B"/>
    <w:rsid w:val="4D9B1C3E"/>
    <w:rsid w:val="4DBC59BC"/>
    <w:rsid w:val="4DC93343"/>
    <w:rsid w:val="4DE37EC5"/>
    <w:rsid w:val="4DFB0A8A"/>
    <w:rsid w:val="4DFE759D"/>
    <w:rsid w:val="4E2B73E2"/>
    <w:rsid w:val="4E2D0D68"/>
    <w:rsid w:val="4E2D5A1A"/>
    <w:rsid w:val="4E7E708F"/>
    <w:rsid w:val="4E8A5F50"/>
    <w:rsid w:val="4E973EDA"/>
    <w:rsid w:val="4ED01347"/>
    <w:rsid w:val="4EE51C86"/>
    <w:rsid w:val="4EE554D8"/>
    <w:rsid w:val="4EEA4D4C"/>
    <w:rsid w:val="4F4C6C0A"/>
    <w:rsid w:val="4F58081F"/>
    <w:rsid w:val="4FB91677"/>
    <w:rsid w:val="4FDF15DB"/>
    <w:rsid w:val="4FE33D1B"/>
    <w:rsid w:val="50265465"/>
    <w:rsid w:val="503338F8"/>
    <w:rsid w:val="5038507E"/>
    <w:rsid w:val="50435FA8"/>
    <w:rsid w:val="505E1454"/>
    <w:rsid w:val="506B13B5"/>
    <w:rsid w:val="506F4327"/>
    <w:rsid w:val="507441B7"/>
    <w:rsid w:val="50747717"/>
    <w:rsid w:val="507B2BAD"/>
    <w:rsid w:val="509243CB"/>
    <w:rsid w:val="50B33DE0"/>
    <w:rsid w:val="50CD6EC3"/>
    <w:rsid w:val="50D241FB"/>
    <w:rsid w:val="50D918B7"/>
    <w:rsid w:val="50F54D0C"/>
    <w:rsid w:val="51094508"/>
    <w:rsid w:val="511928C2"/>
    <w:rsid w:val="511D443B"/>
    <w:rsid w:val="5126299A"/>
    <w:rsid w:val="51510623"/>
    <w:rsid w:val="516D196D"/>
    <w:rsid w:val="517536C6"/>
    <w:rsid w:val="51AC2C1A"/>
    <w:rsid w:val="51FD442B"/>
    <w:rsid w:val="523A79F3"/>
    <w:rsid w:val="5242135D"/>
    <w:rsid w:val="524557D2"/>
    <w:rsid w:val="529F69DE"/>
    <w:rsid w:val="52A20C76"/>
    <w:rsid w:val="530E3DF3"/>
    <w:rsid w:val="53456958"/>
    <w:rsid w:val="53A2529C"/>
    <w:rsid w:val="53C45BAB"/>
    <w:rsid w:val="53CA0AD4"/>
    <w:rsid w:val="540D28E0"/>
    <w:rsid w:val="545D3ED5"/>
    <w:rsid w:val="549979F5"/>
    <w:rsid w:val="54AF737E"/>
    <w:rsid w:val="54DE060D"/>
    <w:rsid w:val="54E26EE7"/>
    <w:rsid w:val="55420750"/>
    <w:rsid w:val="55422C8D"/>
    <w:rsid w:val="55AD36A0"/>
    <w:rsid w:val="55B830FA"/>
    <w:rsid w:val="55C50C14"/>
    <w:rsid w:val="55F0533D"/>
    <w:rsid w:val="56111F26"/>
    <w:rsid w:val="5652659C"/>
    <w:rsid w:val="568B781F"/>
    <w:rsid w:val="569D0D3A"/>
    <w:rsid w:val="56B81033"/>
    <w:rsid w:val="56CD5ED4"/>
    <w:rsid w:val="56D5527D"/>
    <w:rsid w:val="56DC293F"/>
    <w:rsid w:val="56E54A58"/>
    <w:rsid w:val="56EA03EB"/>
    <w:rsid w:val="570326B1"/>
    <w:rsid w:val="57042745"/>
    <w:rsid w:val="571755BF"/>
    <w:rsid w:val="57700012"/>
    <w:rsid w:val="57855C6B"/>
    <w:rsid w:val="5792122C"/>
    <w:rsid w:val="57997F41"/>
    <w:rsid w:val="57F05E33"/>
    <w:rsid w:val="58021B8A"/>
    <w:rsid w:val="582B128D"/>
    <w:rsid w:val="583635BF"/>
    <w:rsid w:val="5840147E"/>
    <w:rsid w:val="58745D7A"/>
    <w:rsid w:val="58894040"/>
    <w:rsid w:val="5908343C"/>
    <w:rsid w:val="591D4BC3"/>
    <w:rsid w:val="59234FEC"/>
    <w:rsid w:val="59410766"/>
    <w:rsid w:val="5960449D"/>
    <w:rsid w:val="598D5FF8"/>
    <w:rsid w:val="59BD3368"/>
    <w:rsid w:val="59BF3ACB"/>
    <w:rsid w:val="59C65B5B"/>
    <w:rsid w:val="59E64E7E"/>
    <w:rsid w:val="5A0A2D8D"/>
    <w:rsid w:val="5A0B4774"/>
    <w:rsid w:val="5A441476"/>
    <w:rsid w:val="5A6670FD"/>
    <w:rsid w:val="5A737A85"/>
    <w:rsid w:val="5B3767CB"/>
    <w:rsid w:val="5B3E7CA7"/>
    <w:rsid w:val="5B4715B1"/>
    <w:rsid w:val="5B5D7519"/>
    <w:rsid w:val="5B6C7872"/>
    <w:rsid w:val="5B8D1991"/>
    <w:rsid w:val="5BA0221A"/>
    <w:rsid w:val="5BB979DC"/>
    <w:rsid w:val="5C005CF1"/>
    <w:rsid w:val="5C261168"/>
    <w:rsid w:val="5C346D31"/>
    <w:rsid w:val="5C3F0F90"/>
    <w:rsid w:val="5C5E4047"/>
    <w:rsid w:val="5C642A68"/>
    <w:rsid w:val="5CD16490"/>
    <w:rsid w:val="5CDE7E22"/>
    <w:rsid w:val="5CE00047"/>
    <w:rsid w:val="5D320CF4"/>
    <w:rsid w:val="5D3C0E78"/>
    <w:rsid w:val="5D45742D"/>
    <w:rsid w:val="5D4576FE"/>
    <w:rsid w:val="5D4B0953"/>
    <w:rsid w:val="5D4C7C3E"/>
    <w:rsid w:val="5D5D4AAD"/>
    <w:rsid w:val="5D6C61E4"/>
    <w:rsid w:val="5DFF017A"/>
    <w:rsid w:val="5E033D2E"/>
    <w:rsid w:val="5E283651"/>
    <w:rsid w:val="5E934920"/>
    <w:rsid w:val="5E9766DE"/>
    <w:rsid w:val="5EB44CF1"/>
    <w:rsid w:val="5EC72FCC"/>
    <w:rsid w:val="5ED912FF"/>
    <w:rsid w:val="5F01528D"/>
    <w:rsid w:val="5F023372"/>
    <w:rsid w:val="5F1A36E1"/>
    <w:rsid w:val="5F1C4EFE"/>
    <w:rsid w:val="5F2E12A5"/>
    <w:rsid w:val="5F4D02CD"/>
    <w:rsid w:val="5F7A71D6"/>
    <w:rsid w:val="5F995ED3"/>
    <w:rsid w:val="5F9B20CE"/>
    <w:rsid w:val="5FA37E33"/>
    <w:rsid w:val="5FCD6944"/>
    <w:rsid w:val="5FE07C95"/>
    <w:rsid w:val="5FE80B69"/>
    <w:rsid w:val="5FF836D4"/>
    <w:rsid w:val="600549D6"/>
    <w:rsid w:val="601D11F7"/>
    <w:rsid w:val="602A23C1"/>
    <w:rsid w:val="60381307"/>
    <w:rsid w:val="60386178"/>
    <w:rsid w:val="604A3AE7"/>
    <w:rsid w:val="6066347B"/>
    <w:rsid w:val="60782DD9"/>
    <w:rsid w:val="6090016A"/>
    <w:rsid w:val="60A250BC"/>
    <w:rsid w:val="60AC0CA2"/>
    <w:rsid w:val="60BE22BE"/>
    <w:rsid w:val="60EA6C21"/>
    <w:rsid w:val="613B292D"/>
    <w:rsid w:val="614D7BAF"/>
    <w:rsid w:val="617F7357"/>
    <w:rsid w:val="61AC06FB"/>
    <w:rsid w:val="61E71D68"/>
    <w:rsid w:val="61EB6DCC"/>
    <w:rsid w:val="621A2B92"/>
    <w:rsid w:val="622C4C99"/>
    <w:rsid w:val="624C4ED9"/>
    <w:rsid w:val="624D4BF8"/>
    <w:rsid w:val="626F0D6E"/>
    <w:rsid w:val="627F0F56"/>
    <w:rsid w:val="629A133F"/>
    <w:rsid w:val="62B10AFF"/>
    <w:rsid w:val="62C7035B"/>
    <w:rsid w:val="62C72CFD"/>
    <w:rsid w:val="62E172CF"/>
    <w:rsid w:val="630257F7"/>
    <w:rsid w:val="63053B92"/>
    <w:rsid w:val="630970C8"/>
    <w:rsid w:val="6324711D"/>
    <w:rsid w:val="632C13FA"/>
    <w:rsid w:val="63603383"/>
    <w:rsid w:val="63797C82"/>
    <w:rsid w:val="637C3BB8"/>
    <w:rsid w:val="640D62E8"/>
    <w:rsid w:val="64106C18"/>
    <w:rsid w:val="64870BEA"/>
    <w:rsid w:val="64885D3E"/>
    <w:rsid w:val="64B94504"/>
    <w:rsid w:val="64D90AFA"/>
    <w:rsid w:val="64DD493E"/>
    <w:rsid w:val="64E04C2A"/>
    <w:rsid w:val="64FE01A6"/>
    <w:rsid w:val="652E3E0A"/>
    <w:rsid w:val="653566A0"/>
    <w:rsid w:val="653B4D78"/>
    <w:rsid w:val="65756A40"/>
    <w:rsid w:val="65783B01"/>
    <w:rsid w:val="65EC796F"/>
    <w:rsid w:val="65F94027"/>
    <w:rsid w:val="660257FE"/>
    <w:rsid w:val="660322E9"/>
    <w:rsid w:val="66594CDB"/>
    <w:rsid w:val="665A69B9"/>
    <w:rsid w:val="66761048"/>
    <w:rsid w:val="66834EE4"/>
    <w:rsid w:val="66CE5F8B"/>
    <w:rsid w:val="66CF64E1"/>
    <w:rsid w:val="66E2086C"/>
    <w:rsid w:val="66E26615"/>
    <w:rsid w:val="6719785A"/>
    <w:rsid w:val="672036D6"/>
    <w:rsid w:val="67513FFD"/>
    <w:rsid w:val="675F28FB"/>
    <w:rsid w:val="6768279A"/>
    <w:rsid w:val="679270B1"/>
    <w:rsid w:val="679E426D"/>
    <w:rsid w:val="67A0245E"/>
    <w:rsid w:val="67B8584F"/>
    <w:rsid w:val="67D904D3"/>
    <w:rsid w:val="67F26CA6"/>
    <w:rsid w:val="681175F9"/>
    <w:rsid w:val="68337049"/>
    <w:rsid w:val="684F16EE"/>
    <w:rsid w:val="68735512"/>
    <w:rsid w:val="68755777"/>
    <w:rsid w:val="68D9547F"/>
    <w:rsid w:val="68F41C59"/>
    <w:rsid w:val="68F8013E"/>
    <w:rsid w:val="690A59E1"/>
    <w:rsid w:val="69422628"/>
    <w:rsid w:val="69510186"/>
    <w:rsid w:val="695F4661"/>
    <w:rsid w:val="69712614"/>
    <w:rsid w:val="69833802"/>
    <w:rsid w:val="69C07319"/>
    <w:rsid w:val="69ED7F34"/>
    <w:rsid w:val="69FF387E"/>
    <w:rsid w:val="6A0C7F4A"/>
    <w:rsid w:val="6A6306AB"/>
    <w:rsid w:val="6A951D06"/>
    <w:rsid w:val="6A9A6C55"/>
    <w:rsid w:val="6AA129BA"/>
    <w:rsid w:val="6AF84F1C"/>
    <w:rsid w:val="6B2722E7"/>
    <w:rsid w:val="6B2915AB"/>
    <w:rsid w:val="6B35647B"/>
    <w:rsid w:val="6B4B577B"/>
    <w:rsid w:val="6B715530"/>
    <w:rsid w:val="6B770AF0"/>
    <w:rsid w:val="6B8E3946"/>
    <w:rsid w:val="6B925B15"/>
    <w:rsid w:val="6BD07974"/>
    <w:rsid w:val="6BDD19DA"/>
    <w:rsid w:val="6BE755BB"/>
    <w:rsid w:val="6BF00FDD"/>
    <w:rsid w:val="6C250390"/>
    <w:rsid w:val="6C295FF5"/>
    <w:rsid w:val="6C3E3275"/>
    <w:rsid w:val="6C407D56"/>
    <w:rsid w:val="6C431608"/>
    <w:rsid w:val="6C5654C7"/>
    <w:rsid w:val="6C600CB4"/>
    <w:rsid w:val="6C6B776C"/>
    <w:rsid w:val="6C7F3E96"/>
    <w:rsid w:val="6C877806"/>
    <w:rsid w:val="6C8C1A63"/>
    <w:rsid w:val="6C942EF7"/>
    <w:rsid w:val="6C960ABE"/>
    <w:rsid w:val="6CBA4A47"/>
    <w:rsid w:val="6CC5115B"/>
    <w:rsid w:val="6CFF5D9E"/>
    <w:rsid w:val="6D25740E"/>
    <w:rsid w:val="6D4A3C60"/>
    <w:rsid w:val="6D8B20D7"/>
    <w:rsid w:val="6D9335CB"/>
    <w:rsid w:val="6DEA1E9A"/>
    <w:rsid w:val="6DEE3E28"/>
    <w:rsid w:val="6DF15F58"/>
    <w:rsid w:val="6DF3539C"/>
    <w:rsid w:val="6DF7185D"/>
    <w:rsid w:val="6E1F1720"/>
    <w:rsid w:val="6E257D03"/>
    <w:rsid w:val="6E611F99"/>
    <w:rsid w:val="6E6B564F"/>
    <w:rsid w:val="6E8B15F6"/>
    <w:rsid w:val="6EBB51F2"/>
    <w:rsid w:val="6EC52A0D"/>
    <w:rsid w:val="6ECF713A"/>
    <w:rsid w:val="6EDD1296"/>
    <w:rsid w:val="6EE2555B"/>
    <w:rsid w:val="6EF519CD"/>
    <w:rsid w:val="6EFD2712"/>
    <w:rsid w:val="6F3515AD"/>
    <w:rsid w:val="6F5E0171"/>
    <w:rsid w:val="6F600876"/>
    <w:rsid w:val="6F616608"/>
    <w:rsid w:val="6F6C1C56"/>
    <w:rsid w:val="6FA73B27"/>
    <w:rsid w:val="6FC67AFA"/>
    <w:rsid w:val="6FCD2656"/>
    <w:rsid w:val="6FE35AE5"/>
    <w:rsid w:val="6FEB1329"/>
    <w:rsid w:val="700A4783"/>
    <w:rsid w:val="70173D9F"/>
    <w:rsid w:val="7029576D"/>
    <w:rsid w:val="704C20C4"/>
    <w:rsid w:val="7063552F"/>
    <w:rsid w:val="706B2F6C"/>
    <w:rsid w:val="70AC1AB1"/>
    <w:rsid w:val="70C10517"/>
    <w:rsid w:val="70DF1BF3"/>
    <w:rsid w:val="70E577B6"/>
    <w:rsid w:val="713F7D9C"/>
    <w:rsid w:val="71812C2E"/>
    <w:rsid w:val="71A02D8B"/>
    <w:rsid w:val="71E46C68"/>
    <w:rsid w:val="71FE7E26"/>
    <w:rsid w:val="721B1F68"/>
    <w:rsid w:val="723B2453"/>
    <w:rsid w:val="72454025"/>
    <w:rsid w:val="7263400B"/>
    <w:rsid w:val="7276461E"/>
    <w:rsid w:val="72967163"/>
    <w:rsid w:val="72A737E3"/>
    <w:rsid w:val="72AA6702"/>
    <w:rsid w:val="72BE284A"/>
    <w:rsid w:val="72C53B25"/>
    <w:rsid w:val="72DB0B26"/>
    <w:rsid w:val="730F4A9E"/>
    <w:rsid w:val="731609EF"/>
    <w:rsid w:val="73207559"/>
    <w:rsid w:val="732459BD"/>
    <w:rsid w:val="733B52B5"/>
    <w:rsid w:val="736C1EAA"/>
    <w:rsid w:val="73871E1E"/>
    <w:rsid w:val="739976F5"/>
    <w:rsid w:val="739D6852"/>
    <w:rsid w:val="73C455A6"/>
    <w:rsid w:val="73CF753A"/>
    <w:rsid w:val="73D50902"/>
    <w:rsid w:val="73D83B75"/>
    <w:rsid w:val="73F8106F"/>
    <w:rsid w:val="742F69CF"/>
    <w:rsid w:val="74303571"/>
    <w:rsid w:val="74683253"/>
    <w:rsid w:val="746A1EB9"/>
    <w:rsid w:val="74A437E7"/>
    <w:rsid w:val="74BC49DB"/>
    <w:rsid w:val="74F94255"/>
    <w:rsid w:val="74FD0F61"/>
    <w:rsid w:val="750206F3"/>
    <w:rsid w:val="750B644F"/>
    <w:rsid w:val="751036D1"/>
    <w:rsid w:val="75205D47"/>
    <w:rsid w:val="757F4E00"/>
    <w:rsid w:val="75A23C44"/>
    <w:rsid w:val="75CB32FE"/>
    <w:rsid w:val="76073F5E"/>
    <w:rsid w:val="76214927"/>
    <w:rsid w:val="76335A92"/>
    <w:rsid w:val="76415499"/>
    <w:rsid w:val="76427B6A"/>
    <w:rsid w:val="76613C95"/>
    <w:rsid w:val="76663EAE"/>
    <w:rsid w:val="76765D68"/>
    <w:rsid w:val="76DB5715"/>
    <w:rsid w:val="76E12554"/>
    <w:rsid w:val="771A3825"/>
    <w:rsid w:val="7787362B"/>
    <w:rsid w:val="778C0E41"/>
    <w:rsid w:val="778F6491"/>
    <w:rsid w:val="77921454"/>
    <w:rsid w:val="77FC5260"/>
    <w:rsid w:val="784A16DB"/>
    <w:rsid w:val="784D5819"/>
    <w:rsid w:val="787C3ED8"/>
    <w:rsid w:val="787F69D5"/>
    <w:rsid w:val="78861A59"/>
    <w:rsid w:val="789D2E8F"/>
    <w:rsid w:val="78B62F43"/>
    <w:rsid w:val="78BA4824"/>
    <w:rsid w:val="78F77D57"/>
    <w:rsid w:val="78FB7196"/>
    <w:rsid w:val="790D5371"/>
    <w:rsid w:val="791E641E"/>
    <w:rsid w:val="792A79AF"/>
    <w:rsid w:val="79630F6B"/>
    <w:rsid w:val="799D122D"/>
    <w:rsid w:val="79C634E0"/>
    <w:rsid w:val="79F04562"/>
    <w:rsid w:val="7A2D4DF8"/>
    <w:rsid w:val="7A4E014F"/>
    <w:rsid w:val="7A9549C6"/>
    <w:rsid w:val="7A9B217B"/>
    <w:rsid w:val="7AD7255B"/>
    <w:rsid w:val="7ADB663A"/>
    <w:rsid w:val="7AE165D1"/>
    <w:rsid w:val="7B043582"/>
    <w:rsid w:val="7B1E6927"/>
    <w:rsid w:val="7B3474CF"/>
    <w:rsid w:val="7B3C3517"/>
    <w:rsid w:val="7B406C26"/>
    <w:rsid w:val="7B7034E7"/>
    <w:rsid w:val="7B723AC4"/>
    <w:rsid w:val="7B7F5369"/>
    <w:rsid w:val="7B9A3DEB"/>
    <w:rsid w:val="7BA81B4D"/>
    <w:rsid w:val="7BB52255"/>
    <w:rsid w:val="7C0F6F68"/>
    <w:rsid w:val="7C241530"/>
    <w:rsid w:val="7C514AC3"/>
    <w:rsid w:val="7C570B1D"/>
    <w:rsid w:val="7C6B0492"/>
    <w:rsid w:val="7C704595"/>
    <w:rsid w:val="7CDA355A"/>
    <w:rsid w:val="7D0D41E6"/>
    <w:rsid w:val="7D4C5768"/>
    <w:rsid w:val="7D5622F6"/>
    <w:rsid w:val="7D85293D"/>
    <w:rsid w:val="7DD130AB"/>
    <w:rsid w:val="7DDD2B07"/>
    <w:rsid w:val="7E09010E"/>
    <w:rsid w:val="7E1C1192"/>
    <w:rsid w:val="7E2D22B5"/>
    <w:rsid w:val="7E401BAB"/>
    <w:rsid w:val="7E5515EC"/>
    <w:rsid w:val="7E754575"/>
    <w:rsid w:val="7E755734"/>
    <w:rsid w:val="7E811CC5"/>
    <w:rsid w:val="7E913E57"/>
    <w:rsid w:val="7E961EC3"/>
    <w:rsid w:val="7E97173E"/>
    <w:rsid w:val="7EA92E43"/>
    <w:rsid w:val="7ECA0E0C"/>
    <w:rsid w:val="7ED210D3"/>
    <w:rsid w:val="7EDA299F"/>
    <w:rsid w:val="7F015F93"/>
    <w:rsid w:val="7F0D2F1E"/>
    <w:rsid w:val="7F1674FE"/>
    <w:rsid w:val="7F9009CF"/>
    <w:rsid w:val="7FAB28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576" w:lineRule="auto"/>
      <w:outlineLvl w:val="0"/>
    </w:pPr>
    <w:rPr>
      <w:rFonts w:eastAsia="黑体"/>
      <w:b/>
      <w:kern w:val="44"/>
      <w:sz w:val="32"/>
    </w:rPr>
  </w:style>
  <w:style w:type="paragraph" w:styleId="2">
    <w:name w:val="heading 2"/>
    <w:basedOn w:val="1"/>
    <w:next w:val="1"/>
    <w:link w:val="44"/>
    <w:qFormat/>
    <w:uiPriority w:val="0"/>
    <w:pPr>
      <w:keepNext/>
      <w:keepLines/>
      <w:spacing w:before="260" w:after="260" w:line="415" w:lineRule="auto"/>
      <w:outlineLvl w:val="1"/>
    </w:pPr>
    <w:rPr>
      <w:rFonts w:ascii="Cambria" w:hAnsi="Cambria"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rPr>
      <w:rFonts w:ascii="Times New Roman" w:hAnsi="Times New Roman" w:eastAsia="仿宋_GB2312" w:cs="Times New Roman"/>
      <w:sz w:val="32"/>
    </w:rPr>
  </w:style>
  <w:style w:type="paragraph" w:styleId="6">
    <w:name w:val="Document Map"/>
    <w:basedOn w:val="1"/>
    <w:semiHidden/>
    <w:qFormat/>
    <w:uiPriority w:val="0"/>
    <w:pPr>
      <w:shd w:val="clear" w:color="auto" w:fill="000080"/>
    </w:pPr>
  </w:style>
  <w:style w:type="paragraph" w:styleId="7">
    <w:name w:val="Body Text"/>
    <w:basedOn w:val="1"/>
    <w:next w:val="8"/>
    <w:link w:val="39"/>
    <w:qFormat/>
    <w:uiPriority w:val="0"/>
    <w:pPr>
      <w:spacing w:after="120"/>
    </w:pPr>
  </w:style>
  <w:style w:type="paragraph" w:customStyle="1" w:styleId="8">
    <w:name w:val="明显引用1"/>
    <w:basedOn w:val="1"/>
    <w:next w:val="1"/>
    <w:qFormat/>
    <w:uiPriority w:val="0"/>
    <w:pPr>
      <w:wordWrap w:val="0"/>
      <w:spacing w:before="360" w:after="360"/>
      <w:ind w:left="950" w:right="950"/>
      <w:jc w:val="center"/>
    </w:pPr>
    <w:rPr>
      <w:rFonts w:ascii="Times New Roman" w:hAnsi="Times New Roman"/>
      <w:i/>
    </w:rPr>
  </w:style>
  <w:style w:type="paragraph" w:styleId="9">
    <w:name w:val="Balloon Text"/>
    <w:basedOn w:val="1"/>
    <w:link w:val="40"/>
    <w:qFormat/>
    <w:uiPriority w:val="0"/>
    <w:rPr>
      <w:sz w:val="18"/>
      <w:szCs w:val="18"/>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autoRedefine/>
    <w:qFormat/>
    <w:uiPriority w:val="0"/>
  </w:style>
  <w:style w:type="paragraph" w:styleId="13">
    <w:name w:val="toc 2"/>
    <w:basedOn w:val="1"/>
    <w:next w:val="1"/>
    <w:qFormat/>
    <w:uiPriority w:val="0"/>
    <w:pPr>
      <w:ind w:left="420" w:leftChars="200"/>
    </w:pPr>
  </w:style>
  <w:style w:type="paragraph" w:styleId="14">
    <w:name w:val="Normal (Web)"/>
    <w:basedOn w:val="1"/>
    <w:next w:val="1"/>
    <w:qFormat/>
    <w:uiPriority w:val="0"/>
    <w:pPr>
      <w:jc w:val="left"/>
    </w:pPr>
    <w:rPr>
      <w:rFonts w:cs="Times New Roman"/>
      <w:kern w:val="0"/>
      <w:sz w:val="24"/>
    </w:rPr>
  </w:style>
  <w:style w:type="paragraph" w:styleId="15">
    <w:name w:val="Title"/>
    <w:basedOn w:val="1"/>
    <w:next w:val="1"/>
    <w:autoRedefine/>
    <w:qFormat/>
    <w:uiPriority w:val="0"/>
    <w:pPr>
      <w:spacing w:before="60" w:after="120" w:line="560" w:lineRule="exact"/>
      <w:jc w:val="center"/>
      <w:outlineLvl w:val="0"/>
    </w:pPr>
    <w:rPr>
      <w:rFonts w:eastAsia="方正小标宋简体"/>
      <w:bCs/>
      <w:sz w:val="44"/>
    </w:rPr>
  </w:style>
  <w:style w:type="paragraph" w:styleId="16">
    <w:name w:val="Body Text First Indent"/>
    <w:basedOn w:val="7"/>
    <w:link w:val="38"/>
    <w:qFormat/>
    <w:uiPriority w:val="0"/>
    <w:pPr>
      <w:spacing w:line="600" w:lineRule="exact"/>
      <w:ind w:firstLine="800" w:firstLineChars="200"/>
    </w:p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style>
  <w:style w:type="character" w:styleId="21">
    <w:name w:val="page number"/>
    <w:basedOn w:val="19"/>
    <w:autoRedefine/>
    <w:qFormat/>
    <w:uiPriority w:val="0"/>
  </w:style>
  <w:style w:type="character" w:styleId="22">
    <w:name w:val="FollowedHyperlink"/>
    <w:basedOn w:val="19"/>
    <w:autoRedefine/>
    <w:qFormat/>
    <w:uiPriority w:val="0"/>
    <w:rPr>
      <w:rFonts w:hint="eastAsia" w:ascii="微软雅黑" w:hAnsi="微软雅黑" w:eastAsia="微软雅黑" w:cs="微软雅黑"/>
      <w:color w:val="800080"/>
      <w:u w:val="none"/>
    </w:rPr>
  </w:style>
  <w:style w:type="character" w:styleId="23">
    <w:name w:val="Emphasis"/>
    <w:basedOn w:val="19"/>
    <w:autoRedefine/>
    <w:qFormat/>
    <w:uiPriority w:val="0"/>
    <w:rPr>
      <w:rFonts w:ascii="微软雅黑" w:hAnsi="微软雅黑" w:eastAsia="微软雅黑" w:cs="微软雅黑"/>
    </w:rPr>
  </w:style>
  <w:style w:type="character" w:styleId="24">
    <w:name w:val="Hyperlink"/>
    <w:basedOn w:val="19"/>
    <w:autoRedefine/>
    <w:qFormat/>
    <w:uiPriority w:val="0"/>
    <w:rPr>
      <w:rFonts w:hint="eastAsia" w:ascii="微软雅黑" w:hAnsi="微软雅黑" w:eastAsia="微软雅黑" w:cs="微软雅黑"/>
      <w:color w:val="0000FF"/>
      <w:u w:val="none"/>
    </w:rPr>
  </w:style>
  <w:style w:type="character" w:styleId="25">
    <w:name w:val="HTML Code"/>
    <w:basedOn w:val="19"/>
    <w:autoRedefine/>
    <w:qFormat/>
    <w:uiPriority w:val="0"/>
    <w:rPr>
      <w:rFonts w:ascii="Courier New" w:hAnsi="Courier New"/>
      <w:sz w:val="20"/>
    </w:rPr>
  </w:style>
  <w:style w:type="paragraph" w:customStyle="1" w:styleId="26">
    <w:name w:val="Char"/>
    <w:basedOn w:val="6"/>
    <w:autoRedefine/>
    <w:qFormat/>
    <w:uiPriority w:val="0"/>
    <w:pPr>
      <w:adjustRightInd w:val="0"/>
      <w:spacing w:line="436" w:lineRule="exact"/>
    </w:pPr>
    <w:rPr>
      <w:szCs w:val="20"/>
    </w:rPr>
  </w:style>
  <w:style w:type="paragraph" w:customStyle="1" w:styleId="27">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28">
    <w:name w:val="nc-lang-cnt"/>
    <w:basedOn w:val="19"/>
    <w:qFormat/>
    <w:uiPriority w:val="0"/>
  </w:style>
  <w:style w:type="character" w:customStyle="1" w:styleId="29">
    <w:name w:val="nc-lang-cnt1"/>
    <w:basedOn w:val="19"/>
    <w:qFormat/>
    <w:uiPriority w:val="0"/>
    <w:rPr>
      <w:rtl/>
    </w:rPr>
  </w:style>
  <w:style w:type="character" w:customStyle="1" w:styleId="30">
    <w:name w:val="nc-lang-cnt2"/>
    <w:basedOn w:val="19"/>
    <w:autoRedefine/>
    <w:qFormat/>
    <w:uiPriority w:val="0"/>
    <w:rPr>
      <w:rtl/>
    </w:rPr>
  </w:style>
  <w:style w:type="character" w:customStyle="1" w:styleId="31">
    <w:name w:val="nc-lang-cnt3"/>
    <w:basedOn w:val="19"/>
    <w:autoRedefine/>
    <w:qFormat/>
    <w:uiPriority w:val="0"/>
    <w:rPr>
      <w:rtl/>
    </w:rPr>
  </w:style>
  <w:style w:type="character" w:customStyle="1" w:styleId="32">
    <w:name w:val="nc-lang-cnt4"/>
    <w:basedOn w:val="19"/>
    <w:autoRedefine/>
    <w:qFormat/>
    <w:uiPriority w:val="0"/>
    <w:rPr>
      <w:rtl/>
    </w:rPr>
  </w:style>
  <w:style w:type="character" w:customStyle="1" w:styleId="33">
    <w:name w:val="nc-lang-cnt5"/>
    <w:basedOn w:val="19"/>
    <w:autoRedefine/>
    <w:qFormat/>
    <w:uiPriority w:val="0"/>
  </w:style>
  <w:style w:type="character" w:customStyle="1" w:styleId="34">
    <w:name w:val="active"/>
    <w:basedOn w:val="19"/>
    <w:autoRedefine/>
    <w:qFormat/>
    <w:uiPriority w:val="0"/>
    <w:rPr>
      <w:color w:val="EA5504"/>
    </w:rPr>
  </w:style>
  <w:style w:type="character" w:customStyle="1" w:styleId="35">
    <w:name w:val="icon-logo"/>
    <w:basedOn w:val="19"/>
    <w:autoRedefine/>
    <w:qFormat/>
    <w:uiPriority w:val="0"/>
  </w:style>
  <w:style w:type="paragraph" w:customStyle="1" w:styleId="36">
    <w:name w:val="WPSOffice手动目录 1"/>
    <w:qFormat/>
    <w:uiPriority w:val="0"/>
    <w:rPr>
      <w:rFonts w:ascii="Times New Roman" w:hAnsi="Times New Roman" w:eastAsia="宋体" w:cs="Times New Roman"/>
      <w:lang w:val="en-US" w:eastAsia="zh-CN" w:bidi="ar-SA"/>
    </w:rPr>
  </w:style>
  <w:style w:type="paragraph" w:customStyle="1" w:styleId="37">
    <w:name w:val="WPSOffice手动目录 2"/>
    <w:autoRedefine/>
    <w:qFormat/>
    <w:uiPriority w:val="0"/>
    <w:pPr>
      <w:ind w:left="200" w:leftChars="200"/>
    </w:pPr>
    <w:rPr>
      <w:rFonts w:ascii="Times New Roman" w:hAnsi="Times New Roman" w:eastAsia="宋体" w:cs="Times New Roman"/>
      <w:lang w:val="en-US" w:eastAsia="zh-CN" w:bidi="ar-SA"/>
    </w:rPr>
  </w:style>
  <w:style w:type="character" w:customStyle="1" w:styleId="38">
    <w:name w:val="正文首行缩进 Char"/>
    <w:basedOn w:val="39"/>
    <w:link w:val="16"/>
    <w:autoRedefine/>
    <w:qFormat/>
    <w:uiPriority w:val="0"/>
    <w:rPr>
      <w:rFonts w:hint="default" w:ascii="Calibri" w:hAnsi="Calibri" w:cs="Calibri"/>
      <w:kern w:val="2"/>
      <w:sz w:val="21"/>
      <w:szCs w:val="24"/>
    </w:rPr>
  </w:style>
  <w:style w:type="character" w:customStyle="1" w:styleId="39">
    <w:name w:val="正文文本 Char"/>
    <w:basedOn w:val="19"/>
    <w:link w:val="7"/>
    <w:qFormat/>
    <w:uiPriority w:val="0"/>
    <w:rPr>
      <w:rFonts w:hint="default" w:ascii="Calibri" w:hAnsi="Calibri" w:cs="Calibri"/>
      <w:kern w:val="2"/>
      <w:sz w:val="21"/>
      <w:szCs w:val="24"/>
    </w:rPr>
  </w:style>
  <w:style w:type="character" w:customStyle="1" w:styleId="40">
    <w:name w:val="批注框文本 Char"/>
    <w:basedOn w:val="19"/>
    <w:link w:val="9"/>
    <w:autoRedefine/>
    <w:qFormat/>
    <w:uiPriority w:val="0"/>
    <w:rPr>
      <w:rFonts w:asciiTheme="minorHAnsi" w:hAnsiTheme="minorHAnsi" w:eastAsiaTheme="minorEastAsia" w:cstheme="minorBidi"/>
      <w:kern w:val="2"/>
      <w:sz w:val="18"/>
      <w:szCs w:val="18"/>
    </w:rPr>
  </w:style>
  <w:style w:type="paragraph" w:customStyle="1" w:styleId="41">
    <w:name w:val="长江正文"/>
    <w:basedOn w:val="1"/>
    <w:autoRedefine/>
    <w:qFormat/>
    <w:uiPriority w:val="0"/>
    <w:pPr>
      <w:spacing w:line="560" w:lineRule="exact"/>
      <w:ind w:firstLine="200" w:firstLineChars="200"/>
    </w:pPr>
    <w:rPr>
      <w:rFonts w:ascii="仿宋_GB2312" w:hAnsi="Arial" w:eastAsia="仿宋_GB2312" w:cs="黑体"/>
      <w:sz w:val="28"/>
    </w:rPr>
  </w:style>
  <w:style w:type="character" w:customStyle="1" w:styleId="42">
    <w:name w:val="NormalCharacter"/>
    <w:autoRedefine/>
    <w:qFormat/>
    <w:uiPriority w:val="0"/>
  </w:style>
  <w:style w:type="paragraph" w:styleId="43">
    <w:name w:val="List Paragraph"/>
    <w:basedOn w:val="1"/>
    <w:autoRedefine/>
    <w:unhideWhenUsed/>
    <w:qFormat/>
    <w:uiPriority w:val="99"/>
    <w:pPr>
      <w:ind w:firstLine="420" w:firstLineChars="200"/>
    </w:pPr>
  </w:style>
  <w:style w:type="character" w:customStyle="1" w:styleId="44">
    <w:name w:val="标题 2 Char"/>
    <w:basedOn w:val="19"/>
    <w:link w:val="2"/>
    <w:qFormat/>
    <w:uiPriority w:val="0"/>
    <w:rPr>
      <w:rFonts w:ascii="Calibri Light" w:hAnsi="Calibri Light" w:eastAsia="宋体" w:cs="Times New Roman"/>
      <w:b/>
      <w:kern w:val="2"/>
      <w:sz w:val="32"/>
      <w:szCs w:val="32"/>
    </w:rPr>
  </w:style>
  <w:style w:type="character" w:customStyle="1" w:styleId="45">
    <w:name w:val="15"/>
    <w:basedOn w:val="19"/>
    <w:qFormat/>
    <w:uiPriority w:val="0"/>
    <w:rPr>
      <w:rFonts w:hint="default" w:ascii="Calibri" w:hAnsi="Calibri" w:cs="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86</Pages>
  <Words>319</Words>
  <Characters>353</Characters>
  <Lines>329</Lines>
  <Paragraphs>92</Paragraphs>
  <TotalTime>29</TotalTime>
  <ScaleCrop>false</ScaleCrop>
  <LinksUpToDate>false</LinksUpToDate>
  <CharactersWithSpaces>365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2021-11-10T02:28:00Z</dcterms:created>
  <dc:creator>天机</dc:creator>
  <cp:lastModifiedBy>半步</cp:lastModifiedBy>
  <cp:lastPrinted>2022-05-16T02:38:00Z</cp:lastPrinted>
  <dcterms:modified xsi:type="dcterms:W3CDTF">2024-12-20T09:15:29Z</dcterms:modified>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0A0D29D209BF47D0BF0454B225D2F94F</vt:lpwstr>
  </property>
</Properties>
</file>